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112" w:rsidRDefault="00A06B09" w:rsidP="00202112">
      <w:pPr>
        <w:suppressAutoHyphens/>
        <w:jc w:val="right"/>
        <w:rPr>
          <w:rFonts w:ascii="Calibri" w:hAnsi="Calibri"/>
          <w:b/>
          <w:i w:val="0"/>
          <w:iCs w:val="0"/>
          <w:sz w:val="22"/>
          <w:szCs w:val="22"/>
        </w:rPr>
      </w:pPr>
      <w:r>
        <w:rPr>
          <w:rFonts w:ascii="Calibri" w:hAnsi="Calibri"/>
          <w:b/>
          <w:i w:val="0"/>
          <w:iCs w:val="0"/>
          <w:sz w:val="22"/>
          <w:szCs w:val="22"/>
        </w:rPr>
        <w:t xml:space="preserve">Załącznik </w:t>
      </w:r>
      <w:r w:rsidR="00202112">
        <w:rPr>
          <w:rFonts w:ascii="Calibri" w:hAnsi="Calibri"/>
          <w:b/>
          <w:i w:val="0"/>
          <w:iCs w:val="0"/>
          <w:sz w:val="22"/>
          <w:szCs w:val="22"/>
        </w:rPr>
        <w:t>Nr 1</w:t>
      </w:r>
    </w:p>
    <w:p w:rsidR="00202112" w:rsidRDefault="0000163D" w:rsidP="00202112">
      <w:pPr>
        <w:suppressAutoHyphens/>
        <w:jc w:val="right"/>
        <w:rPr>
          <w:rFonts w:ascii="Calibri" w:hAnsi="Calibri"/>
          <w:b/>
          <w:i w:val="0"/>
          <w:iCs w:val="0"/>
          <w:sz w:val="22"/>
          <w:szCs w:val="22"/>
        </w:rPr>
      </w:pPr>
      <w:r w:rsidRPr="0036698F">
        <w:rPr>
          <w:rFonts w:ascii="Calibri" w:hAnsi="Calibri"/>
          <w:b/>
          <w:i w:val="0"/>
          <w:iCs w:val="0"/>
          <w:sz w:val="22"/>
          <w:szCs w:val="22"/>
        </w:rPr>
        <w:t xml:space="preserve">do decyzji </w:t>
      </w:r>
      <w:r w:rsidR="00265344">
        <w:rPr>
          <w:rFonts w:ascii="Calibri" w:hAnsi="Calibri"/>
          <w:b/>
          <w:i w:val="0"/>
          <w:iCs w:val="0"/>
          <w:sz w:val="22"/>
          <w:szCs w:val="22"/>
        </w:rPr>
        <w:t>Nr OŚiGW.6220.5</w:t>
      </w:r>
      <w:r w:rsidR="002133E3">
        <w:rPr>
          <w:rFonts w:ascii="Calibri" w:hAnsi="Calibri"/>
          <w:b/>
          <w:i w:val="0"/>
          <w:iCs w:val="0"/>
          <w:sz w:val="22"/>
          <w:szCs w:val="22"/>
        </w:rPr>
        <w:t>.2021</w:t>
      </w:r>
    </w:p>
    <w:p w:rsidR="00202112" w:rsidRPr="00202112" w:rsidRDefault="00202112" w:rsidP="00202112">
      <w:pPr>
        <w:suppressAutoHyphens/>
        <w:jc w:val="right"/>
        <w:rPr>
          <w:rFonts w:ascii="Times New Roman" w:eastAsia="Lucida Sans Unicode" w:hAnsi="Times New Roman" w:cs="Times New Roman"/>
          <w:i w:val="0"/>
          <w:iCs w:val="0"/>
          <w:color w:val="000000"/>
          <w:sz w:val="24"/>
          <w:szCs w:val="24"/>
          <w:lang w:bidi="en-US"/>
        </w:rPr>
      </w:pPr>
      <w:r w:rsidRPr="00B86ADC">
        <w:rPr>
          <w:rFonts w:ascii="Calibri" w:hAnsi="Calibri"/>
          <w:i w:val="0"/>
          <w:iCs w:val="0"/>
          <w:sz w:val="22"/>
          <w:szCs w:val="22"/>
        </w:rPr>
        <w:t>zgodnie z art. 84 ust. 2 ustaw</w:t>
      </w:r>
      <w:r w:rsidR="006728F7">
        <w:rPr>
          <w:rFonts w:ascii="Calibri" w:hAnsi="Calibri"/>
          <w:i w:val="0"/>
          <w:iCs w:val="0"/>
          <w:sz w:val="22"/>
          <w:szCs w:val="22"/>
        </w:rPr>
        <w:t xml:space="preserve">y z dnia 3 października 2008r. </w:t>
      </w:r>
      <w:r w:rsidR="00B86ADC">
        <w:rPr>
          <w:rFonts w:ascii="Calibri" w:hAnsi="Calibri"/>
          <w:i w:val="0"/>
          <w:iCs w:val="0"/>
          <w:sz w:val="22"/>
          <w:szCs w:val="22"/>
        </w:rPr>
        <w:t>o udostępnianiu informacji o środowisku i </w:t>
      </w:r>
      <w:r w:rsidRPr="00B86ADC">
        <w:rPr>
          <w:rFonts w:ascii="Calibri" w:hAnsi="Calibri"/>
          <w:i w:val="0"/>
          <w:iCs w:val="0"/>
          <w:sz w:val="22"/>
          <w:szCs w:val="22"/>
        </w:rPr>
        <w:t xml:space="preserve">jego ochronie, udziale społeczeństwa w ochronie środowiska </w:t>
      </w:r>
      <w:r w:rsidR="00B86ADC">
        <w:rPr>
          <w:rFonts w:ascii="Calibri" w:hAnsi="Calibri"/>
          <w:i w:val="0"/>
          <w:iCs w:val="0"/>
          <w:sz w:val="22"/>
          <w:szCs w:val="22"/>
        </w:rPr>
        <w:t>oraz o ocenach oddziaływania na </w:t>
      </w:r>
      <w:r w:rsidRPr="00B86ADC">
        <w:rPr>
          <w:rFonts w:ascii="Calibri" w:hAnsi="Calibri"/>
          <w:i w:val="0"/>
          <w:iCs w:val="0"/>
          <w:sz w:val="22"/>
          <w:szCs w:val="22"/>
        </w:rPr>
        <w:t>środowisko</w:t>
      </w:r>
      <w:r w:rsidRPr="00202112">
        <w:rPr>
          <w:rFonts w:ascii="Times New Roman" w:eastAsia="Lucida Sans Unicode" w:hAnsi="Times New Roman" w:cs="Times New Roman"/>
          <w:bCs/>
          <w:i w:val="0"/>
          <w:iCs w:val="0"/>
          <w:color w:val="000000"/>
          <w:sz w:val="24"/>
          <w:szCs w:val="24"/>
          <w:lang w:eastAsia="ar-SA" w:bidi="en-US"/>
        </w:rPr>
        <w:t xml:space="preserve"> </w:t>
      </w:r>
      <w:r w:rsidR="002133E3">
        <w:rPr>
          <w:rFonts w:ascii="Times New Roman" w:eastAsiaTheme="minorEastAsia" w:hAnsi="Times New Roman" w:cstheme="minorBidi"/>
          <w:iCs w:val="0"/>
          <w:sz w:val="24"/>
          <w:szCs w:val="24"/>
        </w:rPr>
        <w:t>(tekst jedn. Dz. U. z 2021</w:t>
      </w:r>
      <w:r w:rsidR="00881D7C">
        <w:rPr>
          <w:rFonts w:ascii="Times New Roman" w:eastAsiaTheme="minorEastAsia" w:hAnsi="Times New Roman" w:cstheme="minorBidi"/>
          <w:iCs w:val="0"/>
          <w:sz w:val="24"/>
          <w:szCs w:val="24"/>
        </w:rPr>
        <w:t>r., poz.2</w:t>
      </w:r>
      <w:r w:rsidR="002133E3">
        <w:rPr>
          <w:rFonts w:ascii="Times New Roman" w:eastAsiaTheme="minorEastAsia" w:hAnsi="Times New Roman" w:cstheme="minorBidi"/>
          <w:iCs w:val="0"/>
          <w:sz w:val="24"/>
          <w:szCs w:val="24"/>
        </w:rPr>
        <w:t>47</w:t>
      </w:r>
      <w:r w:rsidRPr="00202112">
        <w:rPr>
          <w:rFonts w:ascii="Times New Roman" w:eastAsiaTheme="minorEastAsia" w:hAnsi="Times New Roman" w:cstheme="minorBidi"/>
          <w:iCs w:val="0"/>
          <w:sz w:val="24"/>
          <w:szCs w:val="24"/>
        </w:rPr>
        <w:t xml:space="preserve"> )</w:t>
      </w:r>
    </w:p>
    <w:p w:rsidR="0000163D" w:rsidRPr="0036698F" w:rsidRDefault="0000163D" w:rsidP="0000163D">
      <w:pPr>
        <w:shd w:val="clear" w:color="auto" w:fill="FFFFFF"/>
        <w:tabs>
          <w:tab w:val="left" w:pos="2268"/>
          <w:tab w:val="left" w:pos="5387"/>
          <w:tab w:val="left" w:pos="6804"/>
          <w:tab w:val="left" w:pos="6946"/>
        </w:tabs>
        <w:spacing w:line="276" w:lineRule="auto"/>
        <w:ind w:left="5387"/>
        <w:rPr>
          <w:rFonts w:ascii="Calibri" w:hAnsi="Calibri"/>
          <w:b/>
          <w:i w:val="0"/>
          <w:iCs w:val="0"/>
          <w:sz w:val="22"/>
          <w:szCs w:val="22"/>
        </w:rPr>
      </w:pPr>
    </w:p>
    <w:p w:rsidR="0000163D" w:rsidRPr="0036698F" w:rsidRDefault="0000163D" w:rsidP="0000163D">
      <w:pPr>
        <w:shd w:val="clear" w:color="auto" w:fill="FFFFFF"/>
        <w:tabs>
          <w:tab w:val="left" w:pos="2268"/>
          <w:tab w:val="left" w:pos="6804"/>
          <w:tab w:val="left" w:pos="6946"/>
        </w:tabs>
        <w:spacing w:before="394"/>
        <w:rPr>
          <w:rFonts w:ascii="Calibri" w:hAnsi="Calibri"/>
          <w:b/>
          <w:i w:val="0"/>
          <w:iCs w:val="0"/>
          <w:sz w:val="22"/>
          <w:szCs w:val="22"/>
        </w:rPr>
      </w:pPr>
    </w:p>
    <w:p w:rsidR="00E43991" w:rsidRDefault="0000163D" w:rsidP="00E43991">
      <w:pPr>
        <w:shd w:val="clear" w:color="auto" w:fill="FFFFFF"/>
        <w:tabs>
          <w:tab w:val="left" w:pos="2268"/>
          <w:tab w:val="left" w:pos="6804"/>
          <w:tab w:val="left" w:pos="6946"/>
        </w:tabs>
        <w:jc w:val="center"/>
        <w:rPr>
          <w:rFonts w:ascii="Calibri" w:hAnsi="Calibri"/>
          <w:b/>
          <w:i w:val="0"/>
          <w:iCs w:val="0"/>
          <w:sz w:val="22"/>
          <w:szCs w:val="22"/>
        </w:rPr>
      </w:pPr>
      <w:r w:rsidRPr="0036698F">
        <w:rPr>
          <w:rFonts w:ascii="Calibri" w:hAnsi="Calibri"/>
          <w:b/>
          <w:i w:val="0"/>
          <w:iCs w:val="0"/>
          <w:sz w:val="22"/>
          <w:szCs w:val="22"/>
        </w:rPr>
        <w:t>CHARAKTERYSTKA PRZEDSIĘWZIĘCIA</w:t>
      </w:r>
    </w:p>
    <w:p w:rsidR="00B753B5" w:rsidRDefault="002133E3" w:rsidP="0000163D">
      <w:pPr>
        <w:shd w:val="clear" w:color="auto" w:fill="FFFFFF"/>
        <w:spacing w:before="360"/>
        <w:ind w:left="23" w:firstLine="685"/>
        <w:jc w:val="both"/>
        <w:rPr>
          <w:rFonts w:ascii="Calibri" w:hAnsi="Calibri" w:cs="Calibri"/>
          <w:b/>
          <w:sz w:val="22"/>
          <w:szCs w:val="22"/>
        </w:rPr>
      </w:pPr>
      <w:r>
        <w:rPr>
          <w:rFonts w:ascii="Calibri" w:hAnsi="Calibri" w:cs="Calibri"/>
          <w:b/>
          <w:sz w:val="22"/>
          <w:szCs w:val="22"/>
        </w:rPr>
        <w:t>„</w:t>
      </w:r>
      <w:r w:rsidR="00265344">
        <w:rPr>
          <w:rFonts w:ascii="Calibri" w:hAnsi="Calibri" w:cs="Calibri"/>
          <w:b/>
          <w:sz w:val="22"/>
          <w:szCs w:val="22"/>
        </w:rPr>
        <w:t>Budowa</w:t>
      </w:r>
      <w:r w:rsidR="00265344" w:rsidRPr="00013C35">
        <w:rPr>
          <w:rFonts w:ascii="Calibri" w:hAnsi="Calibri" w:cs="Calibri"/>
          <w:b/>
          <w:sz w:val="22"/>
          <w:szCs w:val="22"/>
        </w:rPr>
        <w:t xml:space="preserve"> dróg gminnych wraz z kanalizacją deszczową w miejscowości Rakowiec</w:t>
      </w:r>
      <w:r w:rsidR="00116539">
        <w:rPr>
          <w:rFonts w:ascii="Calibri" w:hAnsi="Calibri" w:cs="Calibri"/>
          <w:b/>
          <w:sz w:val="22"/>
          <w:szCs w:val="22"/>
        </w:rPr>
        <w:t xml:space="preserve"> </w:t>
      </w:r>
      <w:r w:rsidR="00265344" w:rsidRPr="00013C35">
        <w:rPr>
          <w:rFonts w:ascii="Calibri" w:hAnsi="Calibri" w:cs="Calibri"/>
          <w:b/>
          <w:sz w:val="22"/>
          <w:szCs w:val="22"/>
        </w:rPr>
        <w:t xml:space="preserve">- </w:t>
      </w:r>
      <w:r w:rsidR="00116539">
        <w:rPr>
          <w:rFonts w:ascii="Calibri" w:hAnsi="Calibri" w:cs="Calibri"/>
          <w:b/>
          <w:sz w:val="22"/>
          <w:szCs w:val="22"/>
        </w:rPr>
        <w:br/>
      </w:r>
      <w:r w:rsidR="00265344" w:rsidRPr="00013C35">
        <w:rPr>
          <w:rFonts w:ascii="Calibri" w:hAnsi="Calibri" w:cs="Calibri"/>
          <w:b/>
          <w:sz w:val="22"/>
          <w:szCs w:val="22"/>
        </w:rPr>
        <w:t>ul. Łowiecka, ul. Myśliwska, ul. Poziomkowa i ul. Gajowa</w:t>
      </w:r>
      <w:r>
        <w:rPr>
          <w:rFonts w:ascii="Calibri" w:hAnsi="Calibri" w:cs="Calibri"/>
          <w:b/>
          <w:sz w:val="22"/>
          <w:szCs w:val="22"/>
        </w:rPr>
        <w:t>”</w:t>
      </w:r>
    </w:p>
    <w:p w:rsidR="0000163D" w:rsidRPr="00371FA2" w:rsidRDefault="0000163D" w:rsidP="0000163D">
      <w:pPr>
        <w:shd w:val="clear" w:color="auto" w:fill="FFFFFF"/>
        <w:spacing w:before="360"/>
        <w:ind w:left="23" w:firstLine="685"/>
        <w:jc w:val="both"/>
        <w:rPr>
          <w:rFonts w:asciiTheme="minorHAnsi" w:hAnsiTheme="minorHAnsi" w:cs="Calibri"/>
          <w:sz w:val="22"/>
          <w:szCs w:val="22"/>
        </w:rPr>
      </w:pPr>
      <w:r w:rsidRPr="00371FA2">
        <w:rPr>
          <w:rFonts w:asciiTheme="minorHAnsi" w:hAnsiTheme="minorHAnsi" w:cs="Calibri"/>
          <w:sz w:val="22"/>
          <w:szCs w:val="22"/>
        </w:rPr>
        <w:t>Charakterystyka planowanego przedsięwzięcia zg</w:t>
      </w:r>
      <w:r w:rsidR="003403F9">
        <w:rPr>
          <w:rFonts w:asciiTheme="minorHAnsi" w:hAnsiTheme="minorHAnsi" w:cs="Calibri"/>
          <w:sz w:val="22"/>
          <w:szCs w:val="22"/>
        </w:rPr>
        <w:t>odnie z art. 84 ust. 2 ustawy o </w:t>
      </w:r>
      <w:r w:rsidRPr="00371FA2">
        <w:rPr>
          <w:rFonts w:asciiTheme="minorHAnsi" w:hAnsiTheme="minorHAnsi" w:cs="Calibri"/>
          <w:sz w:val="22"/>
          <w:szCs w:val="22"/>
        </w:rPr>
        <w:t xml:space="preserve">udostępnieniu informacji o środowisku i jego ochronie, udziale społeczeństwa w ochronie środowiska oraz ocenach oddziaływania na środowisko </w:t>
      </w:r>
      <w:r w:rsidR="00D22F9B">
        <w:rPr>
          <w:rFonts w:ascii="Calibri" w:hAnsi="Calibri"/>
          <w:sz w:val="22"/>
          <w:szCs w:val="22"/>
          <w:lang w:eastAsia="ar-SA"/>
        </w:rPr>
        <w:t>(</w:t>
      </w:r>
      <w:r w:rsidR="00D22F9B" w:rsidRPr="002133E3">
        <w:rPr>
          <w:rFonts w:ascii="Calibri" w:hAnsi="Calibri"/>
          <w:sz w:val="22"/>
          <w:szCs w:val="22"/>
          <w:lang w:eastAsia="ar-SA"/>
        </w:rPr>
        <w:t xml:space="preserve">tekst jedn. </w:t>
      </w:r>
      <w:r w:rsidR="002133E3" w:rsidRPr="002133E3">
        <w:rPr>
          <w:rFonts w:ascii="Calibri" w:hAnsi="Calibri"/>
          <w:sz w:val="22"/>
          <w:szCs w:val="22"/>
          <w:lang w:eastAsia="ar-SA"/>
        </w:rPr>
        <w:t>Dz. U. z 2021r., poz.247</w:t>
      </w:r>
      <w:r w:rsidR="00D22F9B" w:rsidRPr="00BE6EC7">
        <w:rPr>
          <w:rFonts w:ascii="Calibri" w:hAnsi="Calibri"/>
          <w:sz w:val="22"/>
          <w:szCs w:val="22"/>
          <w:lang w:eastAsia="ar-SA"/>
        </w:rPr>
        <w:t>)</w:t>
      </w:r>
      <w:r w:rsidR="00D22F9B">
        <w:rPr>
          <w:rFonts w:ascii="Calibri" w:hAnsi="Calibri"/>
          <w:sz w:val="22"/>
          <w:szCs w:val="22"/>
          <w:lang w:eastAsia="ar-SA"/>
        </w:rPr>
        <w:t xml:space="preserve"> </w:t>
      </w:r>
      <w:r w:rsidRPr="00371FA2">
        <w:rPr>
          <w:rFonts w:asciiTheme="minorHAnsi" w:hAnsiTheme="minorHAnsi" w:cs="Calibri"/>
          <w:sz w:val="22"/>
          <w:szCs w:val="22"/>
        </w:rPr>
        <w:t>Przedmiotową charakterystykę sporządzono w oparciu o dane zawarte w karcie informacyjnej przedsięwzięcia.</w:t>
      </w:r>
    </w:p>
    <w:p w:rsidR="0000163D" w:rsidRPr="00371FA2" w:rsidRDefault="0000163D" w:rsidP="0000163D">
      <w:pPr>
        <w:shd w:val="clear" w:color="auto" w:fill="FFFFFF"/>
        <w:ind w:left="34"/>
        <w:jc w:val="center"/>
        <w:rPr>
          <w:rFonts w:asciiTheme="minorHAnsi" w:hAnsiTheme="minorHAnsi" w:cs="Calibri"/>
          <w:b/>
          <w:i w:val="0"/>
          <w:sz w:val="22"/>
          <w:szCs w:val="22"/>
        </w:rPr>
      </w:pP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Planowana inwestycja polegać będzie na budowie dróg gminnych wewnętrznych na terenie osiedla mieszkaniowego w miejscowości Rakowiec. Łączna długość dróg do budowy wyniesie 2999,7 m.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p>
    <w:p w:rsidR="00116539" w:rsidRPr="00116539" w:rsidRDefault="00116539" w:rsidP="00116539">
      <w:pPr>
        <w:widowControl/>
        <w:autoSpaceDE/>
        <w:autoSpaceDN/>
        <w:adjustRightInd/>
        <w:spacing w:after="120"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Brak jest tu: obszarów górskich, leśnych lub </w:t>
      </w:r>
      <w:proofErr w:type="spellStart"/>
      <w:r w:rsidRPr="00116539">
        <w:rPr>
          <w:rFonts w:ascii="Calibri" w:hAnsi="Calibri" w:cs="Calibri"/>
          <w:i w:val="0"/>
          <w:iCs w:val="0"/>
          <w:sz w:val="22"/>
          <w:szCs w:val="22"/>
        </w:rPr>
        <w:t>wodno</w:t>
      </w:r>
      <w:proofErr w:type="spellEnd"/>
      <w:r w:rsidRPr="00116539">
        <w:rPr>
          <w:rFonts w:ascii="Calibri" w:hAnsi="Calibri" w:cs="Calibri"/>
          <w:i w:val="0"/>
          <w:iCs w:val="0"/>
          <w:sz w:val="22"/>
          <w:szCs w:val="22"/>
        </w:rPr>
        <w:t xml:space="preserve"> – błotnych. Brak jest tu obszarów objętych ochroną, stref ochronnych ujęć wód i obszarów ochronnych zbiorników wód śródlądowych, obszarów przylegających do jezior, uzdrowisk i obszarów ochrony uzdrowiskowej.</w:t>
      </w:r>
    </w:p>
    <w:p w:rsidR="00116539" w:rsidRPr="00116539" w:rsidRDefault="00116539" w:rsidP="00116539">
      <w:pPr>
        <w:widowControl/>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W sąsiedztwie lokalizacji przedmiotowego przedsięwzięcia brak jest terenów ochrony uzdrowiskowej, zgodnie z ustawą z dnia 28 lipca 2005 r. o lecznictwie uzdrowiskowym, uzdrowiskach i obszarach ochrony uzdrowiskowej oraz o gminach uzdrowiskowych oraz terenów związanych ze stałym lub wielogodzinnym pobytem dzieci i młodzieży. Obszar planowanej inwestycji nie jest objęty ochroną konserwatorską. Nieruchomość przeznaczona pod inwestycję nie znajduje się wojewódzkim rejestrze zabytków nieruchomych, ani w wojewódzkiej ewidencji zabytków, prowadzonych przez Pomorskiego Wojewódzkiego Konserwatora Zabytków. Nie jest także wpisana do Gminnej Ewidencji Zabytków. Na terenie planowanego przedsięwzięcia ani na terenie sąsiednim nie znajdują się udokumentowane stanowiska archeologiczne. </w:t>
      </w:r>
    </w:p>
    <w:p w:rsidR="00116539" w:rsidRPr="00116539" w:rsidRDefault="00116539" w:rsidP="00116539">
      <w:pPr>
        <w:widowControl/>
        <w:spacing w:line="360" w:lineRule="auto"/>
        <w:jc w:val="both"/>
        <w:rPr>
          <w:rFonts w:ascii="Calibri" w:hAnsi="Calibri" w:cs="Calibri"/>
          <w:i w:val="0"/>
          <w:iCs w:val="0"/>
          <w:sz w:val="22"/>
          <w:szCs w:val="22"/>
        </w:rPr>
      </w:pPr>
    </w:p>
    <w:p w:rsidR="00116539" w:rsidRPr="00116539" w:rsidRDefault="00116539" w:rsidP="00116539">
      <w:pPr>
        <w:widowControl/>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Na analizowanym terenie nie znajdują się strefy ochrony bezpośredniej ujęć wodnych ani obszary ochronne zbiorników wodnych takich, jak wody powierzchniowe i podziemne wykorzystywane do zaopatrzenia ludności w wodę przeznaczoną do spożycia, wody powierzchniowe wykorzystywane do celów rekreacyjnych, wody powierzchniowe przeznaczone do bytowania ryb, skorupiaków i mięczaków oraz umożliwiające migrację ryb (cieki i jeziora).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Na analizowanym obszarze ani w najbliższym sąsiedztwie nie znajdują się obszary o płytkim zaleganiu wód podziemnych, w tym siedliska łęgowe ani ujścia rzek.</w:t>
      </w:r>
    </w:p>
    <w:p w:rsidR="00116539" w:rsidRPr="00116539" w:rsidRDefault="00116539" w:rsidP="00116539">
      <w:pPr>
        <w:widowControl/>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Na terenie planowanego przedsięwzięcia oraz w obszarze jego oddziaływania, uwzględniając skalę i charakter jego oddziaływania nie zidentyfikowano innych przedsięwzięć, których obecność wraz z analizowanym działaniem prowadziłoby do skumulowania oddziaływań na środowisko.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Na najbliższym sąsiedztwie, nie występuje zakład o dużym ryzyku wystąpienia poważnej awarii przemysłowej (ZDR) ani o zwiększonym ryzyku wystąpienia poważnej awarii przemysłowej (ZZR). W odległości około 3,3 km od miejsca planowanej lokalizacji przedsięwzięcia znajduje się zakład produkcyjny International Paper w Kwidzynie ul. Lotnicza 1 zaliczony do grupy Zakładów Dużego Ryzyka.</w:t>
      </w:r>
    </w:p>
    <w:p w:rsidR="00116539" w:rsidRPr="00116539" w:rsidRDefault="00116539" w:rsidP="00116539">
      <w:pPr>
        <w:widowControl/>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Planowane przedsięwzięcie polegające na przebudowie istniejącej drogi nie wiąże </w:t>
      </w:r>
      <w:r w:rsidRPr="00116539">
        <w:rPr>
          <w:rFonts w:ascii="Calibri" w:hAnsi="Calibri" w:cs="Calibri"/>
          <w:i w:val="0"/>
          <w:iCs w:val="0"/>
          <w:sz w:val="22"/>
          <w:szCs w:val="22"/>
        </w:rPr>
        <w:br/>
        <w:t>się z wystąpieniem ryzyka poważnej awarii, ani też wystąpienia katastrofy naturalnej i budowlanej.</w:t>
      </w:r>
    </w:p>
    <w:p w:rsidR="00116539" w:rsidRPr="00116539" w:rsidRDefault="00116539" w:rsidP="00116539">
      <w:pPr>
        <w:widowControl/>
        <w:autoSpaceDE/>
        <w:autoSpaceDN/>
        <w:adjustRightInd/>
        <w:spacing w:line="360" w:lineRule="auto"/>
        <w:jc w:val="both"/>
        <w:rPr>
          <w:rFonts w:ascii="Calibri" w:hAnsi="Calibri" w:cs="Calibri"/>
          <w:i w:val="0"/>
          <w:iCs w:val="0"/>
          <w:sz w:val="22"/>
          <w:szCs w:val="22"/>
        </w:rPr>
      </w:pPr>
    </w:p>
    <w:p w:rsidR="00116539" w:rsidRPr="00116539" w:rsidRDefault="00116539" w:rsidP="00116539">
      <w:pPr>
        <w:widowControl/>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W trakcie realizacji analizowanego przedsięwzięcia nie będzie występowało transgraniczne oddziaływanie na środowisko.</w:t>
      </w:r>
    </w:p>
    <w:p w:rsidR="00116539" w:rsidRPr="00116539" w:rsidRDefault="00116539" w:rsidP="00116539">
      <w:pPr>
        <w:widowControl/>
        <w:autoSpaceDE/>
        <w:autoSpaceDN/>
        <w:adjustRightInd/>
        <w:spacing w:line="360" w:lineRule="auto"/>
        <w:jc w:val="both"/>
        <w:rPr>
          <w:rFonts w:ascii="Calibri" w:hAnsi="Calibri" w:cs="Calibri"/>
          <w:i w:val="0"/>
          <w:iCs w:val="0"/>
          <w:sz w:val="22"/>
          <w:szCs w:val="22"/>
        </w:rPr>
      </w:pPr>
    </w:p>
    <w:p w:rsidR="00116539" w:rsidRPr="00116539" w:rsidRDefault="00116539" w:rsidP="00116539">
      <w:pPr>
        <w:widowControl/>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Przedmiotowa inwestycja zlokalizowana jest w obszarze dorzecza Wisły, dla którego opracowano Plan gospodarowania wodami na obszarze dorzecza Wisły, przyjęty Uchwałą Rady Ministrów z dnia 18 października 2016 r. (Dz. U. z 2016 r. poz. 1911). Przedmiotowa inwestycja znajduje </w:t>
      </w:r>
      <w:r w:rsidRPr="00116539">
        <w:rPr>
          <w:rFonts w:ascii="Calibri" w:hAnsi="Calibri" w:cs="Calibri"/>
          <w:i w:val="0"/>
          <w:iCs w:val="0"/>
          <w:sz w:val="22"/>
          <w:szCs w:val="22"/>
        </w:rPr>
        <w:br/>
        <w:t xml:space="preserve">się w obszarze jednolitej części wód podziemnych oznaczonym europejskim kodem (PLGW200030) zaliczonym do regionu wodnego Dolnej Wisły. W ww. planie, zgodnie z rozporządzeniem Ministra Środowiska z dnia 21 grudnia 2015 r. w sprawie kryteriów i sposobu oceny stanu jednolitych części wód podziemnych (Dz. U. z 2016 r., poz. 85), stan ilościowy i chemiczny </w:t>
      </w:r>
      <w:proofErr w:type="spellStart"/>
      <w:r w:rsidRPr="00116539">
        <w:rPr>
          <w:rFonts w:ascii="Calibri" w:hAnsi="Calibri" w:cs="Calibri"/>
          <w:i w:val="0"/>
          <w:iCs w:val="0"/>
          <w:sz w:val="22"/>
          <w:szCs w:val="22"/>
        </w:rPr>
        <w:t>JCWPd</w:t>
      </w:r>
      <w:proofErr w:type="spellEnd"/>
      <w:r w:rsidRPr="00116539">
        <w:rPr>
          <w:rFonts w:ascii="Calibri" w:hAnsi="Calibri" w:cs="Calibri"/>
          <w:i w:val="0"/>
          <w:iCs w:val="0"/>
          <w:sz w:val="22"/>
          <w:szCs w:val="22"/>
        </w:rPr>
        <w:t xml:space="preserve"> oceniono jako dobry. Rozpatrywana jednolita część wód podziemnych nie jest zagrożona ryzykiem nieosiągnięcia celów środowiskowych, tj. utrzymania co najmniej dobrego stanu ilościowego i chemicznego wód podziemnych. Eksploatacja przedsięwzięcia nie będzie powodowała dopływu zanieczyszczeń do wód podziemnych, przez co nie wpłynie na pogorszenie stanu chemicznego części wód podziemnych. Planowana inwestycja nie będzie miała również negatywnego wpływu na cele środowiskowe dotyczące stanu ilościowego wód podziemnych. Wykonana dotychczas analiza warunków geologicznych wyklucza jakąkolwiek możliwość istnienia więzi hydraulicznej między warstwą, w której wykonana będzie inwestycja, a warstwą wód podziemnych stanowiących źródło zaopatrzenia ludności w wodę pitną w tym rejonie. Planowana do przebudowy droga znajduje się w obszarze </w:t>
      </w:r>
      <w:r w:rsidRPr="00116539">
        <w:rPr>
          <w:rFonts w:ascii="Calibri" w:hAnsi="Calibri" w:cs="Calibri"/>
          <w:i w:val="0"/>
          <w:iCs w:val="0"/>
          <w:sz w:val="22"/>
          <w:szCs w:val="22"/>
        </w:rPr>
        <w:lastRenderedPageBreak/>
        <w:t>jednolitej części wód powierzchniowych oznaczonym europejskim kodem PLRW20002652269, zaliczona do regionu wodnego Dolnej Wisły.</w:t>
      </w:r>
    </w:p>
    <w:p w:rsidR="00116539" w:rsidRPr="00116539" w:rsidRDefault="00116539" w:rsidP="00116539">
      <w:pPr>
        <w:widowControl/>
        <w:autoSpaceDE/>
        <w:autoSpaceDN/>
        <w:adjustRightInd/>
        <w:spacing w:line="360" w:lineRule="auto"/>
        <w:jc w:val="both"/>
        <w:rPr>
          <w:rFonts w:ascii="Calibri" w:hAnsi="Calibri" w:cs="Calibri"/>
          <w:i w:val="0"/>
          <w:iCs w:val="0"/>
          <w:sz w:val="22"/>
          <w:szCs w:val="22"/>
        </w:rPr>
      </w:pPr>
    </w:p>
    <w:p w:rsidR="00116539" w:rsidRPr="00116539" w:rsidRDefault="00116539" w:rsidP="00116539">
      <w:pPr>
        <w:widowControl/>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Planowane przedsięwzięcie nie będzie szkodliwie oddziaływać na jednolite części wód podziemnych i powierzchniowych. </w:t>
      </w:r>
    </w:p>
    <w:p w:rsidR="00116539" w:rsidRPr="00116539" w:rsidRDefault="00116539" w:rsidP="00116539">
      <w:pPr>
        <w:widowControl/>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Wody opadowe, które zgodnie z Prawem Wodnym nie są ściekami ujęte będą w system otwarty i zamknięty kanalizacji deszczowej – rowy, zbiornik wód deszczowych oraz kanalizację deszczową w postaci studzienek i kolektora (z odprowadzeniem do rowów).</w:t>
      </w:r>
    </w:p>
    <w:p w:rsidR="00116539" w:rsidRPr="00116539" w:rsidRDefault="00116539" w:rsidP="00116539">
      <w:pPr>
        <w:widowControl/>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Planowana inwestycja nie znajduje się w obszarze zagrożenia i ryzyka powodziowego (prawdopodobieństwo wstąpienia powodzi dla tego terenu jest niskie i wynosi Q0,2%, czyli raz na 500 lat).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Obecnie ww. drogi gminne są niedostosowane do wymogów technicznych stawianych drogom obsługującym zabudowę mieszkaniowo-usługową, co powoduje utrudnienia w jego użytkowaniu i wprowadza dodatkowo zagrożenie dla bezpieczeństwa ruchu drogowego. Rodzaj, stan nawierzchni oraz zły stan techniczny dróg gruntowych powodują znaczne zagrożenie w bezpieczeństwie ruchu drogowego i uciążliwości eksploatacyjne.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W następstwie realizacji inwestycji nie ulegnie zmianie kategoria drag (drogi gminne wewnętrzne), klasa — dojazdowa (D). Bez zmian pozostanie również dopuszczalny nacisk pojedynczej osi pojazdu, zatem po drodze tak, jak dotychczas będą mogły poruszać się pojazdy o dopuszczalnym nacisku pojedynczej osi do 80 </w:t>
      </w:r>
      <w:proofErr w:type="spellStart"/>
      <w:r w:rsidRPr="00116539">
        <w:rPr>
          <w:rFonts w:ascii="Calibri" w:hAnsi="Calibri" w:cs="Calibri"/>
          <w:i w:val="0"/>
          <w:iCs w:val="0"/>
          <w:sz w:val="22"/>
          <w:szCs w:val="22"/>
        </w:rPr>
        <w:t>kN</w:t>
      </w:r>
      <w:proofErr w:type="spellEnd"/>
      <w:r w:rsidRPr="00116539">
        <w:rPr>
          <w:rFonts w:ascii="Calibri" w:hAnsi="Calibri" w:cs="Calibri"/>
          <w:i w:val="0"/>
          <w:iCs w:val="0"/>
          <w:sz w:val="22"/>
          <w:szCs w:val="22"/>
        </w:rPr>
        <w:t xml:space="preserve">. Prędkość projektowa wyniesie 50 km/h na drogach wyposażonych w jezdnie i chodniki, oraz 30 km/godz. na ciągach pieszo-jezdnych. </w:t>
      </w:r>
    </w:p>
    <w:p w:rsidR="00116539" w:rsidRPr="00116539" w:rsidRDefault="00116539" w:rsidP="00116539">
      <w:pPr>
        <w:widowControl/>
        <w:suppressAutoHyphens/>
        <w:autoSpaceDE/>
        <w:autoSpaceDN/>
        <w:adjustRightInd/>
        <w:spacing w:line="360" w:lineRule="auto"/>
        <w:jc w:val="both"/>
        <w:rPr>
          <w:rFonts w:ascii="Calibri" w:hAnsi="Calibri" w:cs="Calibri"/>
          <w:iCs w:val="0"/>
          <w:sz w:val="22"/>
          <w:szCs w:val="22"/>
        </w:rPr>
      </w:pPr>
      <w:r w:rsidRPr="00116539">
        <w:rPr>
          <w:rFonts w:ascii="Calibri" w:hAnsi="Calibri" w:cs="Calibri"/>
          <w:i w:val="0"/>
          <w:iCs w:val="0"/>
          <w:sz w:val="22"/>
          <w:szCs w:val="22"/>
        </w:rPr>
        <w:t>Jak wskazał autor KIP, cyt.: ,,</w:t>
      </w:r>
      <w:r w:rsidRPr="00116539">
        <w:rPr>
          <w:rFonts w:ascii="Calibri" w:hAnsi="Calibri" w:cs="Calibri"/>
          <w:iCs w:val="0"/>
          <w:sz w:val="22"/>
          <w:szCs w:val="22"/>
        </w:rPr>
        <w:t>Poprawie ulegną parametry eksploatacyjne drogi poprzez doprowadzenie ich do stanu zgodnego z wymogami technicznymi, jakim powinny dla danej klasy odpowiadać drogi publiczne i ich usytuowanie</w:t>
      </w:r>
      <w:r w:rsidRPr="00116539">
        <w:rPr>
          <w:rFonts w:ascii="Calibri" w:hAnsi="Calibri" w:cs="Calibri"/>
          <w:i w:val="0"/>
          <w:iCs w:val="0"/>
          <w:sz w:val="22"/>
          <w:szCs w:val="22"/>
        </w:rPr>
        <w:t xml:space="preserve">".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Odwodnienie dróg będzie zapewnione poprzez projektowaną kanalizację deszczową z wylotem do projektowanych, odparowujących rowów przydrożnych oraz do zbiorników odparowujących wody deszczowe.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Projektowana konstrukcja nawierzchni jezdni drogi spełniać będzie wymogi, jak dla kategorii mchu KR1, tj.: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u w:val="single"/>
        </w:rPr>
      </w:pPr>
      <w:r w:rsidRPr="00116539">
        <w:rPr>
          <w:rFonts w:ascii="Calibri" w:hAnsi="Calibri" w:cs="Calibri"/>
          <w:i w:val="0"/>
          <w:iCs w:val="0"/>
          <w:sz w:val="22"/>
          <w:szCs w:val="22"/>
          <w:u w:val="single"/>
        </w:rPr>
        <w:t xml:space="preserve">Drogi wewnętrzne z chodnikami: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 warstwa ścieralna z asfaltobetonu;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 warstwa wiążąca z asfaltobetonu;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 podbudowa z kruszywa łamanego stabilizowanego mechanicznie;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 warstwa odcinająca z piasku;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u w:val="single"/>
        </w:rPr>
      </w:pPr>
      <w:r w:rsidRPr="00116539">
        <w:rPr>
          <w:rFonts w:ascii="Calibri" w:hAnsi="Calibri" w:cs="Calibri"/>
          <w:i w:val="0"/>
          <w:iCs w:val="0"/>
          <w:sz w:val="22"/>
          <w:szCs w:val="22"/>
          <w:u w:val="single"/>
        </w:rPr>
        <w:t xml:space="preserve">Ciągi pieszo-jezdne: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 kostka betonowa </w:t>
      </w:r>
      <w:proofErr w:type="spellStart"/>
      <w:r w:rsidRPr="00116539">
        <w:rPr>
          <w:rFonts w:ascii="Calibri" w:hAnsi="Calibri" w:cs="Calibri"/>
          <w:i w:val="0"/>
          <w:iCs w:val="0"/>
          <w:sz w:val="22"/>
          <w:szCs w:val="22"/>
        </w:rPr>
        <w:t>wibroprasowana</w:t>
      </w:r>
      <w:proofErr w:type="spellEnd"/>
      <w:r w:rsidRPr="00116539">
        <w:rPr>
          <w:rFonts w:ascii="Calibri" w:hAnsi="Calibri" w:cs="Calibri"/>
          <w:i w:val="0"/>
          <w:iCs w:val="0"/>
          <w:sz w:val="22"/>
          <w:szCs w:val="22"/>
        </w:rPr>
        <w:t xml:space="preserve">;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 podsypka cementowo-piaskowa 1:4;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 podbudowa z kruszywa łamanego stabilizowanego mechanicznie;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 warstwa odcinająca z piasku gr;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u w:val="single"/>
        </w:rPr>
      </w:pPr>
      <w:r w:rsidRPr="00116539">
        <w:rPr>
          <w:rFonts w:ascii="Calibri" w:hAnsi="Calibri" w:cs="Calibri"/>
          <w:i w:val="0"/>
          <w:iCs w:val="0"/>
          <w:sz w:val="22"/>
          <w:szCs w:val="22"/>
          <w:u w:val="single"/>
        </w:rPr>
        <w:t xml:space="preserve">Chodniki: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 kostka betonowa </w:t>
      </w:r>
      <w:proofErr w:type="spellStart"/>
      <w:r w:rsidRPr="00116539">
        <w:rPr>
          <w:rFonts w:ascii="Calibri" w:hAnsi="Calibri" w:cs="Calibri"/>
          <w:i w:val="0"/>
          <w:iCs w:val="0"/>
          <w:sz w:val="22"/>
          <w:szCs w:val="22"/>
        </w:rPr>
        <w:t>wibroprasowana</w:t>
      </w:r>
      <w:proofErr w:type="spellEnd"/>
      <w:r w:rsidRPr="00116539">
        <w:rPr>
          <w:rFonts w:ascii="Calibri" w:hAnsi="Calibri" w:cs="Calibri"/>
          <w:i w:val="0"/>
          <w:iCs w:val="0"/>
          <w:sz w:val="22"/>
          <w:szCs w:val="22"/>
        </w:rPr>
        <w:t xml:space="preserve">;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 podsypka cementowo-piaskowa 1:4;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 podbudowa z kruszywa łamanego stabilizowanego mechanicznie;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 warstwa odcinająca z piasku.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Na potrzeby planowanego przedsięwzięcia prognozuje się wykorzystanie normatywnych ilości w zakresie zużycia wody, materiałów, paliw oraz energii. W fazie realizacji inwestycji wykorzystywane będą materiały budowlane typowe dla tego typu robót, głównie: lepiszcza bitumiczne (emulsje asfaltowe, asfalt drogowy), mieszanki mineralno-cementowe, betonowe i mineralno-asfaltowe, kruszywa drogowe naturalne i łamane, spoiwa hydrauliczne, krawężniki, oporniki i obrzeża betonowe, betonowa kostka brukowa oraz paliwa ciekłe do napędu silników maszyn, pojazdów i sprzętu. Ilości niezbędnie koniecznych materiałów i surowców będą wynikały z przedmiaru robót, który zostanie sporządzony w oparciu o szczegółowe rozwiązania projektowe przedstawione w dokumentacji projektowej.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Realizacja inwestycji nie naruszy stanu zasobów surowców naturalnych, w tym wody i kruszywa budowlanego. Materiały niezbędne do realizowania inwestycji dowożone będą transportem samochodowym odpowiednio do tego celu przystosowanym.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Nie przewiduje się zapotrzebowania w energię cieplną oraz gazową, jak również nie przewiduje się wykorzystywania energii elektrycznej pobieranej z sieci elektroenergetycznych oraz nie przewiduje się w procesach technologicznych jakiegokolwiek zużycia paliw, poza silnikowymi paliwami ciekłymi niezbędnymi do napędzania jednostek sprzętowo-transportowych zatrudnianych podczas realizacji przedsięwzięcia.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Wszystkie użyte do budowy materiały i paliwa będą wykorzystywane zgodnie z obowiązującymi normami i przepisami, ze szczególnym zwróceniem uwagi na odzysk materiałów i surowców zgodnie z zasadami racjonalnej gospodarki materiałowej, w tym gospodarki odpadami.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Na etapie realizacji zadania woda wykorzystywana będzie do celów technologicznych i socjalno-bytowych. Woda do celów technologicznych i socjalnych dostarczana będzie za pomocą </w:t>
      </w:r>
      <w:r w:rsidRPr="00116539">
        <w:rPr>
          <w:rFonts w:ascii="Calibri" w:hAnsi="Calibri" w:cs="Calibri"/>
          <w:i w:val="0"/>
          <w:iCs w:val="0"/>
          <w:sz w:val="22"/>
          <w:szCs w:val="22"/>
        </w:rPr>
        <w:lastRenderedPageBreak/>
        <w:t xml:space="preserve">beczkowozów, lub gdy będzie to możliwe, będzie czerpana z sieci wodociągowej. Wielkość zużycia wody do celów socjalnych będzie skorelowana z ilością pracowników.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Szacuje się, że w fazie realizacji wykorzystane będą następujące ilości surowców i materiałów: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 asfaltobeton: 1845 t;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 kostka betonowa: 1283 t;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 kruszywo łamane: 6885 t;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xml:space="preserve">- cement: 91 t;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piasek: 4063 m</w:t>
      </w:r>
      <w:r w:rsidRPr="00116539">
        <w:rPr>
          <w:rFonts w:ascii="Calibri" w:hAnsi="Calibri" w:cs="Calibri"/>
          <w:i w:val="0"/>
          <w:iCs w:val="0"/>
          <w:sz w:val="22"/>
          <w:szCs w:val="22"/>
          <w:vertAlign w:val="superscript"/>
        </w:rPr>
        <w:t>3</w:t>
      </w:r>
      <w:r w:rsidRPr="00116539">
        <w:rPr>
          <w:rFonts w:ascii="Calibri" w:hAnsi="Calibri" w:cs="Calibri"/>
          <w:i w:val="0"/>
          <w:iCs w:val="0"/>
          <w:sz w:val="22"/>
          <w:szCs w:val="22"/>
        </w:rPr>
        <w:t xml:space="preserve">;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 woda: 548 m</w:t>
      </w:r>
      <w:r w:rsidRPr="00116539">
        <w:rPr>
          <w:rFonts w:ascii="Calibri" w:hAnsi="Calibri" w:cs="Calibri"/>
          <w:i w:val="0"/>
          <w:iCs w:val="0"/>
          <w:sz w:val="22"/>
          <w:szCs w:val="22"/>
          <w:vertAlign w:val="superscript"/>
        </w:rPr>
        <w:t>3</w:t>
      </w:r>
      <w:r w:rsidRPr="00116539">
        <w:rPr>
          <w:rFonts w:ascii="Calibri" w:hAnsi="Calibri" w:cs="Calibri"/>
          <w:i w:val="0"/>
          <w:iCs w:val="0"/>
          <w:sz w:val="22"/>
          <w:szCs w:val="22"/>
        </w:rPr>
        <w:t xml:space="preserve">. </w:t>
      </w:r>
    </w:p>
    <w:p w:rsidR="00116539" w:rsidRPr="00116539" w:rsidRDefault="00116539" w:rsidP="00116539">
      <w:pPr>
        <w:widowControl/>
        <w:suppressAutoHyphens/>
        <w:autoSpaceDE/>
        <w:autoSpaceDN/>
        <w:adjustRightInd/>
        <w:spacing w:line="360" w:lineRule="auto"/>
        <w:jc w:val="both"/>
        <w:rPr>
          <w:rFonts w:ascii="Calibri" w:hAnsi="Calibri" w:cs="Calibri"/>
          <w:i w:val="0"/>
          <w:iCs w:val="0"/>
          <w:sz w:val="22"/>
          <w:szCs w:val="22"/>
        </w:rPr>
      </w:pPr>
      <w:r w:rsidRPr="00116539">
        <w:rPr>
          <w:rFonts w:ascii="Calibri" w:hAnsi="Calibri" w:cs="Calibri"/>
          <w:i w:val="0"/>
          <w:iCs w:val="0"/>
          <w:sz w:val="22"/>
          <w:szCs w:val="22"/>
        </w:rPr>
        <w:t>Przedsięwzięcie w fazie eksploatacji nie wymaga zużycia surowców naturalnych, wody i energii elektrycznej.</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 xml:space="preserve">Planowane przedsięwzięcie zlokalizowane zostanie na działkach nr: 82, 618, 629/6, 629/43, 629/21, 626/1, 626/20, 626/10, 208/8, 209/12, 209/31, 209/29, 629/1, 209/32, 629/2, 629/20,208/5, 208/11, 626/8, 207/13, 207/14, 207/15, 207/16, 207/9, 207/19, 207/7, 626/25, 207/18, 207/20, 628/1, 207/21, 628/4, 207/22, 205/12, 205/10, 205/13, 205/14, 206/3, 205/15, 199 obręb Rakowiec, gm. Kwidzyn, powiat kwidzyński, woj. pomorskie.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 xml:space="preserve">W otoczeniu planowanej do przebudowy drogi znajdują się tereny mieszkaniowe (B), grunty rolne </w:t>
      </w:r>
      <w:proofErr w:type="spellStart"/>
      <w:r w:rsidRPr="00116539">
        <w:rPr>
          <w:rFonts w:ascii="Calibri" w:hAnsi="Calibri" w:cs="Calibri"/>
          <w:i w:val="0"/>
          <w:iCs w:val="0"/>
          <w:sz w:val="22"/>
          <w:szCs w:val="22"/>
        </w:rPr>
        <w:t>IVa</w:t>
      </w:r>
      <w:proofErr w:type="spellEnd"/>
      <w:r w:rsidRPr="00116539">
        <w:rPr>
          <w:rFonts w:ascii="Calibri" w:hAnsi="Calibri" w:cs="Calibri"/>
          <w:i w:val="0"/>
          <w:iCs w:val="0"/>
          <w:sz w:val="22"/>
          <w:szCs w:val="22"/>
        </w:rPr>
        <w:t>, V, VI klasy bonitacyjnej, tereny przeznaczone pod zabudowę (niezabudowane) -Bp, lasy (</w:t>
      </w:r>
      <w:proofErr w:type="spellStart"/>
      <w:r w:rsidRPr="00116539">
        <w:rPr>
          <w:rFonts w:ascii="Calibri" w:hAnsi="Calibri" w:cs="Calibri"/>
          <w:i w:val="0"/>
          <w:iCs w:val="0"/>
          <w:sz w:val="22"/>
          <w:szCs w:val="22"/>
        </w:rPr>
        <w:t>Ls</w:t>
      </w:r>
      <w:proofErr w:type="spellEnd"/>
      <w:r w:rsidRPr="00116539">
        <w:rPr>
          <w:rFonts w:ascii="Calibri" w:hAnsi="Calibri" w:cs="Calibri"/>
          <w:i w:val="0"/>
          <w:iCs w:val="0"/>
          <w:sz w:val="22"/>
          <w:szCs w:val="22"/>
        </w:rPr>
        <w:t xml:space="preserve">), pastwiska trwałe IV, V klasy bonitacyjnej, drogi (dr), sady (S-RV) oraz nieużytki (N).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 xml:space="preserve">W rejonie planowanego przedsięwzięcia, na potrzeby wykonania Karty informacyjnej przedsięwzięcia wykonano inwentaryzację przyrodniczą. Na jej podstawie stwierdzono, </w:t>
      </w:r>
      <w:r w:rsidRPr="00116539">
        <w:rPr>
          <w:rFonts w:ascii="Calibri" w:hAnsi="Calibri" w:cs="Calibri"/>
          <w:i w:val="0"/>
          <w:iCs w:val="0"/>
          <w:sz w:val="22"/>
          <w:szCs w:val="22"/>
        </w:rPr>
        <w:br/>
        <w:t xml:space="preserve">iż od strony północnej wieś Rakowiec przylega w opisywanej części do lasów gospodarczych leśnictwa Ośno w Nadleśnictwie Kwidzyn. W lasach tych przeważają monokultury sosny na siedliskach lasów grądowych lub borów mieszanych. Domieszkę w nich stanowią niekiedy: brzoza brodawkowata </w:t>
      </w:r>
      <w:proofErr w:type="spellStart"/>
      <w:r w:rsidRPr="00116539">
        <w:rPr>
          <w:rFonts w:ascii="Calibri" w:hAnsi="Calibri" w:cs="Calibri"/>
          <w:iCs w:val="0"/>
          <w:sz w:val="22"/>
          <w:szCs w:val="22"/>
        </w:rPr>
        <w:t>Betula</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pendula</w:t>
      </w:r>
      <w:proofErr w:type="spellEnd"/>
      <w:r w:rsidRPr="00116539">
        <w:rPr>
          <w:rFonts w:ascii="Calibri" w:hAnsi="Calibri" w:cs="Calibri"/>
          <w:i w:val="0"/>
          <w:iCs w:val="0"/>
          <w:sz w:val="22"/>
          <w:szCs w:val="22"/>
        </w:rPr>
        <w:t xml:space="preserve"> i dąb szypułkowy </w:t>
      </w:r>
      <w:proofErr w:type="spellStart"/>
      <w:r w:rsidRPr="00116539">
        <w:rPr>
          <w:rFonts w:ascii="Calibri" w:hAnsi="Calibri" w:cs="Calibri"/>
          <w:iCs w:val="0"/>
          <w:sz w:val="22"/>
          <w:szCs w:val="22"/>
        </w:rPr>
        <w:t>Quercus</w:t>
      </w:r>
      <w:proofErr w:type="spellEnd"/>
      <w:r w:rsidRPr="00116539">
        <w:rPr>
          <w:rFonts w:ascii="Calibri" w:hAnsi="Calibri" w:cs="Calibri"/>
          <w:iCs w:val="0"/>
          <w:sz w:val="22"/>
          <w:szCs w:val="22"/>
        </w:rPr>
        <w:t xml:space="preserve"> robur</w:t>
      </w:r>
      <w:r w:rsidRPr="00116539">
        <w:rPr>
          <w:rFonts w:ascii="Calibri" w:hAnsi="Calibri" w:cs="Calibri"/>
          <w:i w:val="0"/>
          <w:iCs w:val="0"/>
          <w:sz w:val="22"/>
          <w:szCs w:val="22"/>
        </w:rPr>
        <w:t xml:space="preserve">, rzadziej dąb czerwony </w:t>
      </w:r>
      <w:r w:rsidRPr="00116539">
        <w:rPr>
          <w:rFonts w:ascii="Calibri" w:hAnsi="Calibri" w:cs="Calibri"/>
          <w:iCs w:val="0"/>
          <w:sz w:val="22"/>
          <w:szCs w:val="22"/>
        </w:rPr>
        <w:t>Q. rubra</w:t>
      </w:r>
      <w:r w:rsidRPr="00116539">
        <w:rPr>
          <w:rFonts w:ascii="Calibri" w:hAnsi="Calibri" w:cs="Calibri"/>
          <w:i w:val="0"/>
          <w:iCs w:val="0"/>
          <w:sz w:val="22"/>
          <w:szCs w:val="22"/>
        </w:rPr>
        <w:t xml:space="preserve">, topola osika </w:t>
      </w:r>
      <w:proofErr w:type="spellStart"/>
      <w:r w:rsidRPr="00116539">
        <w:rPr>
          <w:rFonts w:ascii="Calibri" w:hAnsi="Calibri" w:cs="Calibri"/>
          <w:iCs w:val="0"/>
          <w:sz w:val="22"/>
          <w:szCs w:val="22"/>
        </w:rPr>
        <w:t>Populus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tremula</w:t>
      </w:r>
      <w:proofErr w:type="spellEnd"/>
      <w:r w:rsidRPr="00116539">
        <w:rPr>
          <w:rFonts w:ascii="Calibri" w:hAnsi="Calibri" w:cs="Calibri"/>
          <w:i w:val="0"/>
          <w:iCs w:val="0"/>
          <w:sz w:val="22"/>
          <w:szCs w:val="22"/>
        </w:rPr>
        <w:t xml:space="preserve"> i lipa drobnolistna </w:t>
      </w:r>
      <w:proofErr w:type="spellStart"/>
      <w:r w:rsidRPr="00116539">
        <w:rPr>
          <w:rFonts w:ascii="Calibri" w:hAnsi="Calibri" w:cs="Calibri"/>
          <w:iCs w:val="0"/>
          <w:sz w:val="22"/>
          <w:szCs w:val="22"/>
        </w:rPr>
        <w:t>Tilia</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cordata</w:t>
      </w:r>
      <w:proofErr w:type="spellEnd"/>
      <w:r w:rsidRPr="00116539">
        <w:rPr>
          <w:rFonts w:ascii="Calibri" w:hAnsi="Calibri" w:cs="Calibri"/>
          <w:i w:val="0"/>
          <w:iCs w:val="0"/>
          <w:sz w:val="22"/>
          <w:szCs w:val="22"/>
        </w:rPr>
        <w:t xml:space="preserve">. W podszycie rosną najczęściej: bez koralowy </w:t>
      </w:r>
      <w:proofErr w:type="spellStart"/>
      <w:r w:rsidRPr="00116539">
        <w:rPr>
          <w:rFonts w:ascii="Calibri" w:hAnsi="Calibri" w:cs="Calibri"/>
          <w:iCs w:val="0"/>
          <w:sz w:val="22"/>
          <w:szCs w:val="22"/>
        </w:rPr>
        <w:t>Sambucus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racemosa</w:t>
      </w:r>
      <w:proofErr w:type="spellEnd"/>
      <w:r w:rsidRPr="00116539">
        <w:rPr>
          <w:rFonts w:ascii="Calibri" w:hAnsi="Calibri" w:cs="Calibri"/>
          <w:i w:val="0"/>
          <w:iCs w:val="0"/>
          <w:sz w:val="22"/>
          <w:szCs w:val="22"/>
        </w:rPr>
        <w:t xml:space="preserve">, kruszyna pospolita </w:t>
      </w:r>
      <w:proofErr w:type="spellStart"/>
      <w:r w:rsidRPr="00116539">
        <w:rPr>
          <w:rFonts w:ascii="Calibri" w:hAnsi="Calibri" w:cs="Calibri"/>
          <w:iCs w:val="0"/>
          <w:sz w:val="22"/>
          <w:szCs w:val="22"/>
        </w:rPr>
        <w:t>Frangula</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alnus</w:t>
      </w:r>
      <w:proofErr w:type="spellEnd"/>
      <w:r w:rsidRPr="00116539">
        <w:rPr>
          <w:rFonts w:ascii="Calibri" w:hAnsi="Calibri" w:cs="Calibri"/>
          <w:i w:val="0"/>
          <w:iCs w:val="0"/>
          <w:sz w:val="22"/>
          <w:szCs w:val="22"/>
        </w:rPr>
        <w:t xml:space="preserve">, jarząb pospolity </w:t>
      </w:r>
      <w:proofErr w:type="spellStart"/>
      <w:r w:rsidRPr="00116539">
        <w:rPr>
          <w:rFonts w:ascii="Calibri" w:hAnsi="Calibri" w:cs="Calibri"/>
          <w:iCs w:val="0"/>
          <w:sz w:val="22"/>
          <w:szCs w:val="22"/>
        </w:rPr>
        <w:t>Sorbus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aucuparia</w:t>
      </w:r>
      <w:proofErr w:type="spellEnd"/>
      <w:r w:rsidRPr="00116539">
        <w:rPr>
          <w:rFonts w:ascii="Calibri" w:hAnsi="Calibri" w:cs="Calibri"/>
          <w:i w:val="0"/>
          <w:iCs w:val="0"/>
          <w:sz w:val="22"/>
          <w:szCs w:val="22"/>
        </w:rPr>
        <w:t xml:space="preserve">, podrost wyżej wymienionych drzew liściastych oraz podrost świerka </w:t>
      </w:r>
      <w:proofErr w:type="spellStart"/>
      <w:r w:rsidRPr="00116539">
        <w:rPr>
          <w:rFonts w:ascii="Calibri" w:hAnsi="Calibri" w:cs="Calibri"/>
          <w:iCs w:val="0"/>
          <w:sz w:val="22"/>
          <w:szCs w:val="22"/>
        </w:rPr>
        <w:t>Picea</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abies</w:t>
      </w:r>
      <w:proofErr w:type="spellEnd"/>
      <w:r w:rsidRPr="00116539">
        <w:rPr>
          <w:rFonts w:ascii="Calibri" w:hAnsi="Calibri" w:cs="Calibri"/>
          <w:i w:val="0"/>
          <w:iCs w:val="0"/>
          <w:sz w:val="22"/>
          <w:szCs w:val="22"/>
        </w:rPr>
        <w:t xml:space="preserve">. W runie dominują gatunki synantropijne — ruderalne, </w:t>
      </w:r>
      <w:proofErr w:type="spellStart"/>
      <w:r w:rsidRPr="00116539">
        <w:rPr>
          <w:rFonts w:ascii="Calibri" w:hAnsi="Calibri" w:cs="Calibri"/>
          <w:i w:val="0"/>
          <w:iCs w:val="0"/>
          <w:sz w:val="22"/>
          <w:szCs w:val="22"/>
        </w:rPr>
        <w:t>segetalne</w:t>
      </w:r>
      <w:proofErr w:type="spellEnd"/>
      <w:r w:rsidRPr="00116539">
        <w:rPr>
          <w:rFonts w:ascii="Calibri" w:hAnsi="Calibri" w:cs="Calibri"/>
          <w:i w:val="0"/>
          <w:iCs w:val="0"/>
          <w:sz w:val="22"/>
          <w:szCs w:val="22"/>
        </w:rPr>
        <w:t xml:space="preserve"> i porębowe.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 xml:space="preserve">Na pozostałym obszarze przyległym do projektowanych dróg przeważają zbiorowiska nieustabilizowane, typowe dla terenów przekształcanych z użytkowania rolniczego na tereny mieszkalne.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 xml:space="preserve">W niektórych fragmentach, jeszcze niezagospodarowanych, zaobserwowano efekty wczesnej sukcesji lasu. Takie zbiorowisko występuje aktualnie na przykład w rejonie skrzyżowania ulicy Strzeleckiej i </w:t>
      </w:r>
      <w:r w:rsidRPr="00116539">
        <w:rPr>
          <w:rFonts w:ascii="Calibri" w:hAnsi="Calibri" w:cs="Calibri"/>
          <w:i w:val="0"/>
          <w:iCs w:val="0"/>
          <w:sz w:val="22"/>
          <w:szCs w:val="22"/>
        </w:rPr>
        <w:lastRenderedPageBreak/>
        <w:t xml:space="preserve">Gajowej. Są one dwuwarstwowe. Warstwę podszytu o zwarciu ok. 30% buduje spontanicznie rozwijający się podrost sosny zwyczajnej </w:t>
      </w:r>
      <w:proofErr w:type="spellStart"/>
      <w:r w:rsidRPr="00116539">
        <w:rPr>
          <w:rFonts w:ascii="Calibri" w:hAnsi="Calibri" w:cs="Calibri"/>
          <w:iCs w:val="0"/>
          <w:sz w:val="22"/>
          <w:szCs w:val="22"/>
        </w:rPr>
        <w:t>Pinus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sylvestris</w:t>
      </w:r>
      <w:proofErr w:type="spellEnd"/>
      <w:r w:rsidRPr="00116539">
        <w:rPr>
          <w:rFonts w:ascii="Calibri" w:hAnsi="Calibri" w:cs="Calibri"/>
          <w:i w:val="0"/>
          <w:iCs w:val="0"/>
          <w:sz w:val="22"/>
          <w:szCs w:val="22"/>
        </w:rPr>
        <w:t xml:space="preserve">. W barwnym runie o pokryciu ponad 90% występują między innymi: jastrzębiec kosmaczek </w:t>
      </w:r>
      <w:proofErr w:type="spellStart"/>
      <w:r w:rsidRPr="00116539">
        <w:rPr>
          <w:rFonts w:ascii="Calibri" w:hAnsi="Calibri" w:cs="Calibri"/>
          <w:iCs w:val="0"/>
          <w:sz w:val="22"/>
          <w:szCs w:val="22"/>
        </w:rPr>
        <w:t>Hieracium</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pilosella</w:t>
      </w:r>
      <w:proofErr w:type="spellEnd"/>
      <w:r w:rsidRPr="00116539">
        <w:rPr>
          <w:rFonts w:ascii="Calibri" w:hAnsi="Calibri" w:cs="Calibri"/>
          <w:i w:val="0"/>
          <w:iCs w:val="0"/>
          <w:sz w:val="22"/>
          <w:szCs w:val="22"/>
        </w:rPr>
        <w:t xml:space="preserve">, jasieniec piaskowy </w:t>
      </w:r>
      <w:r w:rsidRPr="00116539">
        <w:rPr>
          <w:rFonts w:ascii="Calibri" w:hAnsi="Calibri" w:cs="Calibri"/>
          <w:iCs w:val="0"/>
          <w:sz w:val="22"/>
          <w:szCs w:val="22"/>
        </w:rPr>
        <w:t xml:space="preserve">Jasione </w:t>
      </w:r>
      <w:proofErr w:type="spellStart"/>
      <w:r w:rsidRPr="00116539">
        <w:rPr>
          <w:rFonts w:ascii="Calibri" w:hAnsi="Calibri" w:cs="Calibri"/>
          <w:iCs w:val="0"/>
          <w:sz w:val="22"/>
          <w:szCs w:val="22"/>
        </w:rPr>
        <w:t>montana</w:t>
      </w:r>
      <w:proofErr w:type="spellEnd"/>
      <w:r w:rsidRPr="00116539">
        <w:rPr>
          <w:rFonts w:ascii="Calibri" w:hAnsi="Calibri" w:cs="Calibri"/>
          <w:i w:val="0"/>
          <w:iCs w:val="0"/>
          <w:sz w:val="22"/>
          <w:szCs w:val="22"/>
        </w:rPr>
        <w:t xml:space="preserve">, przymiotno ostre </w:t>
      </w:r>
      <w:proofErr w:type="spellStart"/>
      <w:r w:rsidRPr="00116539">
        <w:rPr>
          <w:rFonts w:ascii="Calibri" w:hAnsi="Calibri" w:cs="Calibri"/>
          <w:iCs w:val="0"/>
          <w:sz w:val="22"/>
          <w:szCs w:val="22"/>
        </w:rPr>
        <w:t>Erigeron</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acris</w:t>
      </w:r>
      <w:proofErr w:type="spellEnd"/>
      <w:r w:rsidRPr="00116539">
        <w:rPr>
          <w:rFonts w:ascii="Calibri" w:hAnsi="Calibri" w:cs="Calibri"/>
          <w:i w:val="0"/>
          <w:iCs w:val="0"/>
          <w:sz w:val="22"/>
          <w:szCs w:val="22"/>
        </w:rPr>
        <w:t xml:space="preserve">, szczaw polny </w:t>
      </w:r>
      <w:proofErr w:type="spellStart"/>
      <w:r w:rsidRPr="00116539">
        <w:rPr>
          <w:rFonts w:ascii="Calibri" w:hAnsi="Calibri" w:cs="Calibri"/>
          <w:iCs w:val="0"/>
          <w:sz w:val="22"/>
          <w:szCs w:val="22"/>
        </w:rPr>
        <w:t>Rumex</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acetosella</w:t>
      </w:r>
      <w:proofErr w:type="spellEnd"/>
      <w:r w:rsidRPr="00116539">
        <w:rPr>
          <w:rFonts w:ascii="Calibri" w:hAnsi="Calibri" w:cs="Calibri"/>
          <w:i w:val="0"/>
          <w:iCs w:val="0"/>
          <w:sz w:val="22"/>
          <w:szCs w:val="22"/>
        </w:rPr>
        <w:t xml:space="preserve">, wrotycz pospolity </w:t>
      </w:r>
      <w:proofErr w:type="spellStart"/>
      <w:r w:rsidRPr="00116539">
        <w:rPr>
          <w:rFonts w:ascii="Calibri" w:hAnsi="Calibri" w:cs="Calibri"/>
          <w:iCs w:val="0"/>
          <w:sz w:val="22"/>
          <w:szCs w:val="22"/>
        </w:rPr>
        <w:t>Tanacetum</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vulgare</w:t>
      </w:r>
      <w:proofErr w:type="spellEnd"/>
      <w:r w:rsidRPr="00116539">
        <w:rPr>
          <w:rFonts w:ascii="Calibri" w:hAnsi="Calibri" w:cs="Calibri"/>
          <w:i w:val="0"/>
          <w:iCs w:val="0"/>
          <w:sz w:val="22"/>
          <w:szCs w:val="22"/>
        </w:rPr>
        <w:t xml:space="preserve">, wyka orzęsiona </w:t>
      </w:r>
      <w:proofErr w:type="spellStart"/>
      <w:r w:rsidRPr="00116539">
        <w:rPr>
          <w:rFonts w:ascii="Calibri" w:hAnsi="Calibri" w:cs="Calibri"/>
          <w:iCs w:val="0"/>
          <w:sz w:val="22"/>
          <w:szCs w:val="22"/>
        </w:rPr>
        <w:t>Vicia</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hirsuta</w:t>
      </w:r>
      <w:proofErr w:type="spellEnd"/>
      <w:r w:rsidRPr="00116539">
        <w:rPr>
          <w:rFonts w:ascii="Calibri" w:hAnsi="Calibri" w:cs="Calibri"/>
          <w:i w:val="0"/>
          <w:iCs w:val="0"/>
          <w:sz w:val="22"/>
          <w:szCs w:val="22"/>
        </w:rPr>
        <w:t xml:space="preserve">, powój polny </w:t>
      </w:r>
      <w:proofErr w:type="spellStart"/>
      <w:r w:rsidRPr="00116539">
        <w:rPr>
          <w:rFonts w:ascii="Calibri" w:hAnsi="Calibri" w:cs="Calibri"/>
          <w:iCs w:val="0"/>
          <w:sz w:val="22"/>
          <w:szCs w:val="22"/>
        </w:rPr>
        <w:t>Convolvulus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arvensis</w:t>
      </w:r>
      <w:proofErr w:type="spellEnd"/>
      <w:r w:rsidRPr="00116539">
        <w:rPr>
          <w:rFonts w:ascii="Calibri" w:hAnsi="Calibri" w:cs="Calibri"/>
          <w:i w:val="0"/>
          <w:iCs w:val="0"/>
          <w:sz w:val="22"/>
          <w:szCs w:val="22"/>
        </w:rPr>
        <w:t xml:space="preserve">, babka pośrednia </w:t>
      </w:r>
      <w:proofErr w:type="spellStart"/>
      <w:r w:rsidRPr="00116539">
        <w:rPr>
          <w:rFonts w:ascii="Calibri" w:hAnsi="Calibri" w:cs="Calibri"/>
          <w:iCs w:val="0"/>
          <w:sz w:val="22"/>
          <w:szCs w:val="22"/>
        </w:rPr>
        <w:t>Plantago</w:t>
      </w:r>
      <w:proofErr w:type="spellEnd"/>
      <w:r w:rsidRPr="00116539">
        <w:rPr>
          <w:rFonts w:ascii="Calibri" w:hAnsi="Calibri" w:cs="Calibri"/>
          <w:iCs w:val="0"/>
          <w:sz w:val="22"/>
          <w:szCs w:val="22"/>
        </w:rPr>
        <w:t xml:space="preserve"> media</w:t>
      </w:r>
      <w:r w:rsidRPr="00116539">
        <w:rPr>
          <w:rFonts w:ascii="Calibri" w:hAnsi="Calibri" w:cs="Calibri"/>
          <w:i w:val="0"/>
          <w:iCs w:val="0"/>
          <w:sz w:val="22"/>
          <w:szCs w:val="22"/>
        </w:rPr>
        <w:t xml:space="preserve">, chaber nadreński </w:t>
      </w:r>
      <w:proofErr w:type="spellStart"/>
      <w:r w:rsidRPr="00116539">
        <w:rPr>
          <w:rFonts w:ascii="Calibri" w:hAnsi="Calibri" w:cs="Calibri"/>
          <w:iCs w:val="0"/>
          <w:sz w:val="22"/>
          <w:szCs w:val="22"/>
        </w:rPr>
        <w:t>Centaurea</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stoebe</w:t>
      </w:r>
      <w:proofErr w:type="spellEnd"/>
      <w:r w:rsidRPr="00116539">
        <w:rPr>
          <w:rFonts w:ascii="Calibri" w:hAnsi="Calibri" w:cs="Calibri"/>
          <w:i w:val="0"/>
          <w:iCs w:val="0"/>
          <w:sz w:val="22"/>
          <w:szCs w:val="22"/>
        </w:rPr>
        <w:t xml:space="preserve">, prosienicznik gładki </w:t>
      </w:r>
      <w:proofErr w:type="spellStart"/>
      <w:r w:rsidRPr="00116539">
        <w:rPr>
          <w:rFonts w:ascii="Calibri" w:hAnsi="Calibri" w:cs="Calibri"/>
          <w:iCs w:val="0"/>
          <w:sz w:val="22"/>
          <w:szCs w:val="22"/>
        </w:rPr>
        <w:t>Hypohoeris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glabra</w:t>
      </w:r>
      <w:proofErr w:type="spellEnd"/>
      <w:r w:rsidRPr="00116539">
        <w:rPr>
          <w:rFonts w:ascii="Calibri" w:hAnsi="Calibri" w:cs="Calibri"/>
          <w:i w:val="0"/>
          <w:iCs w:val="0"/>
          <w:sz w:val="22"/>
          <w:szCs w:val="22"/>
        </w:rPr>
        <w:t xml:space="preserve">, bylica polna </w:t>
      </w:r>
      <w:proofErr w:type="spellStart"/>
      <w:r w:rsidRPr="00116539">
        <w:rPr>
          <w:rFonts w:ascii="Calibri" w:hAnsi="Calibri" w:cs="Calibri"/>
          <w:iCs w:val="0"/>
          <w:sz w:val="22"/>
          <w:szCs w:val="22"/>
        </w:rPr>
        <w:t>Artemisia</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campestris</w:t>
      </w:r>
      <w:proofErr w:type="spellEnd"/>
      <w:r w:rsidRPr="00116539">
        <w:rPr>
          <w:rFonts w:ascii="Calibri" w:hAnsi="Calibri" w:cs="Calibri"/>
          <w:i w:val="0"/>
          <w:iCs w:val="0"/>
          <w:sz w:val="22"/>
          <w:szCs w:val="22"/>
        </w:rPr>
        <w:t xml:space="preserve"> i inne.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 xml:space="preserve">W rejonie skrzyżowania ulicy Łowieckiej z ulicą Spokojną w krajobrazie wyróżnia się niewielki młodnik </w:t>
      </w:r>
      <w:proofErr w:type="spellStart"/>
      <w:r w:rsidRPr="00116539">
        <w:rPr>
          <w:rFonts w:ascii="Calibri" w:hAnsi="Calibri" w:cs="Calibri"/>
          <w:i w:val="0"/>
          <w:iCs w:val="0"/>
          <w:sz w:val="22"/>
          <w:szCs w:val="22"/>
        </w:rPr>
        <w:t>sosnowo-brzozowy</w:t>
      </w:r>
      <w:proofErr w:type="spellEnd"/>
      <w:r w:rsidRPr="00116539">
        <w:rPr>
          <w:rFonts w:ascii="Calibri" w:hAnsi="Calibri" w:cs="Calibri"/>
          <w:i w:val="0"/>
          <w:iCs w:val="0"/>
          <w:sz w:val="22"/>
          <w:szCs w:val="22"/>
        </w:rPr>
        <w:t xml:space="preserve"> oraz niewielkie zadrzewienie o charakterze parkowym, przylegające do zabudowań gospodarczych. Rosną w nim między innymi dorodne dęby, a w podszycie — leszczyna pospolita </w:t>
      </w:r>
      <w:proofErr w:type="spellStart"/>
      <w:r w:rsidRPr="00116539">
        <w:rPr>
          <w:rFonts w:ascii="Calibri" w:hAnsi="Calibri" w:cs="Calibri"/>
          <w:iCs w:val="0"/>
          <w:sz w:val="22"/>
          <w:szCs w:val="22"/>
        </w:rPr>
        <w:t>Corylus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avellana</w:t>
      </w:r>
      <w:proofErr w:type="spellEnd"/>
      <w:r w:rsidRPr="00116539">
        <w:rPr>
          <w:rFonts w:ascii="Calibri" w:hAnsi="Calibri" w:cs="Calibri"/>
          <w:i w:val="0"/>
          <w:iCs w:val="0"/>
          <w:sz w:val="22"/>
          <w:szCs w:val="22"/>
        </w:rPr>
        <w:t xml:space="preserve">, bez lilak </w:t>
      </w:r>
      <w:r w:rsidRPr="00116539">
        <w:rPr>
          <w:rFonts w:ascii="Calibri" w:hAnsi="Calibri" w:cs="Calibri"/>
          <w:iCs w:val="0"/>
          <w:sz w:val="22"/>
          <w:szCs w:val="22"/>
        </w:rPr>
        <w:t xml:space="preserve">Syringa </w:t>
      </w:r>
      <w:proofErr w:type="spellStart"/>
      <w:r w:rsidRPr="00116539">
        <w:rPr>
          <w:rFonts w:ascii="Calibri" w:hAnsi="Calibri" w:cs="Calibri"/>
          <w:iCs w:val="0"/>
          <w:sz w:val="22"/>
          <w:szCs w:val="22"/>
        </w:rPr>
        <w:t>vulgaris</w:t>
      </w:r>
      <w:proofErr w:type="spellEnd"/>
      <w:r w:rsidRPr="00116539">
        <w:rPr>
          <w:rFonts w:ascii="Calibri" w:hAnsi="Calibri" w:cs="Calibri"/>
          <w:i w:val="0"/>
          <w:iCs w:val="0"/>
          <w:sz w:val="22"/>
          <w:szCs w:val="22"/>
        </w:rPr>
        <w:t xml:space="preserve">, dzika róża </w:t>
      </w:r>
      <w:r w:rsidRPr="00116539">
        <w:rPr>
          <w:rFonts w:ascii="Calibri" w:hAnsi="Calibri" w:cs="Calibri"/>
          <w:iCs w:val="0"/>
          <w:sz w:val="22"/>
          <w:szCs w:val="22"/>
        </w:rPr>
        <w:t xml:space="preserve">Rosa </w:t>
      </w:r>
      <w:proofErr w:type="spellStart"/>
      <w:r w:rsidRPr="00116539">
        <w:rPr>
          <w:rFonts w:ascii="Calibri" w:hAnsi="Calibri" w:cs="Calibri"/>
          <w:iCs w:val="0"/>
          <w:sz w:val="22"/>
          <w:szCs w:val="22"/>
        </w:rPr>
        <w:t>canina</w:t>
      </w:r>
      <w:proofErr w:type="spellEnd"/>
      <w:r w:rsidRPr="00116539">
        <w:rPr>
          <w:rFonts w:ascii="Calibri" w:hAnsi="Calibri" w:cs="Calibri"/>
          <w:i w:val="0"/>
          <w:iCs w:val="0"/>
          <w:sz w:val="22"/>
          <w:szCs w:val="22"/>
        </w:rPr>
        <w:t xml:space="preserve"> i śnieguliczka biała </w:t>
      </w:r>
      <w:proofErr w:type="spellStart"/>
      <w:r w:rsidRPr="00116539">
        <w:rPr>
          <w:rFonts w:ascii="Calibri" w:hAnsi="Calibri" w:cs="Calibri"/>
          <w:iCs w:val="0"/>
          <w:sz w:val="22"/>
          <w:szCs w:val="22"/>
        </w:rPr>
        <w:t>Symphoricarus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albus</w:t>
      </w:r>
      <w:proofErr w:type="spellEnd"/>
      <w:r w:rsidRPr="00116539">
        <w:rPr>
          <w:rFonts w:ascii="Calibri" w:hAnsi="Calibri" w:cs="Calibri"/>
          <w:i w:val="0"/>
          <w:iCs w:val="0"/>
          <w:sz w:val="22"/>
          <w:szCs w:val="22"/>
        </w:rPr>
        <w:t xml:space="preserve">. W runie tego zadrzewienia panują gatunki ruderalne, takie jak: podagrycznik pospolity </w:t>
      </w:r>
      <w:proofErr w:type="spellStart"/>
      <w:r w:rsidRPr="00116539">
        <w:rPr>
          <w:rFonts w:ascii="Calibri" w:hAnsi="Calibri" w:cs="Calibri"/>
          <w:iCs w:val="0"/>
          <w:sz w:val="22"/>
          <w:szCs w:val="22"/>
        </w:rPr>
        <w:t>Aegopodium</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podagraria</w:t>
      </w:r>
      <w:proofErr w:type="spellEnd"/>
      <w:r w:rsidRPr="00116539">
        <w:rPr>
          <w:rFonts w:ascii="Calibri" w:hAnsi="Calibri" w:cs="Calibri"/>
          <w:i w:val="0"/>
          <w:iCs w:val="0"/>
          <w:sz w:val="22"/>
          <w:szCs w:val="22"/>
        </w:rPr>
        <w:t xml:space="preserve"> i trybula leśna </w:t>
      </w:r>
      <w:proofErr w:type="spellStart"/>
      <w:r w:rsidRPr="00116539">
        <w:rPr>
          <w:rFonts w:ascii="Calibri" w:hAnsi="Calibri" w:cs="Calibri"/>
          <w:iCs w:val="0"/>
          <w:sz w:val="22"/>
          <w:szCs w:val="22"/>
        </w:rPr>
        <w:t>Anthriscus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sylvestris</w:t>
      </w:r>
      <w:proofErr w:type="spellEnd"/>
      <w:r w:rsidRPr="00116539">
        <w:rPr>
          <w:rFonts w:ascii="Calibri" w:hAnsi="Calibri" w:cs="Calibri"/>
          <w:i w:val="0"/>
          <w:iCs w:val="0"/>
          <w:sz w:val="22"/>
          <w:szCs w:val="22"/>
        </w:rPr>
        <w:t xml:space="preserve">.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 xml:space="preserve">Na pozostałym terenie rośnie typowa roślinność terenów zagospodarowanych, głównie roślin ozdobnych i przydomowych upraw. Jedynie wzdłuż dróg i terenów niezabudowanych kształtuje się roślinność spontaniczna z dominacją gatunków ruderalnych i traw, takich jak: kupkówka pospolita </w:t>
      </w:r>
      <w:proofErr w:type="spellStart"/>
      <w:r w:rsidRPr="00116539">
        <w:rPr>
          <w:rFonts w:ascii="Calibri" w:hAnsi="Calibri" w:cs="Calibri"/>
          <w:iCs w:val="0"/>
          <w:sz w:val="22"/>
          <w:szCs w:val="22"/>
        </w:rPr>
        <w:t>Dactylis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glomerata</w:t>
      </w:r>
      <w:proofErr w:type="spellEnd"/>
      <w:r w:rsidRPr="00116539">
        <w:rPr>
          <w:rFonts w:ascii="Calibri" w:hAnsi="Calibri" w:cs="Calibri"/>
          <w:i w:val="0"/>
          <w:iCs w:val="0"/>
          <w:sz w:val="22"/>
          <w:szCs w:val="22"/>
        </w:rPr>
        <w:t xml:space="preserve">, rajgras wyniosły </w:t>
      </w:r>
      <w:proofErr w:type="spellStart"/>
      <w:r w:rsidRPr="00116539">
        <w:rPr>
          <w:rFonts w:ascii="Calibri" w:hAnsi="Calibri" w:cs="Calibri"/>
          <w:iCs w:val="0"/>
          <w:sz w:val="22"/>
          <w:szCs w:val="22"/>
        </w:rPr>
        <w:t>Arrhenatherym</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elatius</w:t>
      </w:r>
      <w:proofErr w:type="spellEnd"/>
      <w:r w:rsidRPr="00116539">
        <w:rPr>
          <w:rFonts w:ascii="Calibri" w:hAnsi="Calibri" w:cs="Calibri"/>
          <w:i w:val="0"/>
          <w:iCs w:val="0"/>
          <w:sz w:val="22"/>
          <w:szCs w:val="22"/>
        </w:rPr>
        <w:t xml:space="preserve">, stokłosa miękka </w:t>
      </w:r>
      <w:proofErr w:type="spellStart"/>
      <w:r w:rsidRPr="00116539">
        <w:rPr>
          <w:rFonts w:ascii="Calibri" w:hAnsi="Calibri" w:cs="Calibri"/>
          <w:iCs w:val="0"/>
          <w:sz w:val="22"/>
          <w:szCs w:val="22"/>
        </w:rPr>
        <w:t>Bromus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mollis</w:t>
      </w:r>
      <w:proofErr w:type="spellEnd"/>
      <w:r w:rsidRPr="00116539">
        <w:rPr>
          <w:rFonts w:ascii="Calibri" w:hAnsi="Calibri" w:cs="Calibri"/>
          <w:i w:val="0"/>
          <w:iCs w:val="0"/>
          <w:sz w:val="22"/>
          <w:szCs w:val="22"/>
        </w:rPr>
        <w:t xml:space="preserve">, bylica pospolita </w:t>
      </w:r>
      <w:proofErr w:type="spellStart"/>
      <w:r w:rsidRPr="00116539">
        <w:rPr>
          <w:rFonts w:ascii="Calibri" w:hAnsi="Calibri" w:cs="Calibri"/>
          <w:iCs w:val="0"/>
          <w:sz w:val="22"/>
          <w:szCs w:val="22"/>
        </w:rPr>
        <w:t>Artemisia</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vulgaris</w:t>
      </w:r>
      <w:proofErr w:type="spellEnd"/>
      <w:r w:rsidRPr="00116539">
        <w:rPr>
          <w:rFonts w:ascii="Calibri" w:hAnsi="Calibri" w:cs="Calibri"/>
          <w:i w:val="0"/>
          <w:iCs w:val="0"/>
          <w:sz w:val="22"/>
          <w:szCs w:val="22"/>
        </w:rPr>
        <w:t xml:space="preserve">, tasznik </w:t>
      </w:r>
      <w:proofErr w:type="spellStart"/>
      <w:r w:rsidRPr="00116539">
        <w:rPr>
          <w:rFonts w:ascii="Calibri" w:hAnsi="Calibri" w:cs="Calibri"/>
          <w:iCs w:val="0"/>
          <w:sz w:val="22"/>
          <w:szCs w:val="22"/>
        </w:rPr>
        <w:t>Capsella</w:t>
      </w:r>
      <w:proofErr w:type="spellEnd"/>
      <w:r w:rsidRPr="00116539">
        <w:rPr>
          <w:rFonts w:ascii="Calibri" w:hAnsi="Calibri" w:cs="Calibri"/>
          <w:iCs w:val="0"/>
          <w:sz w:val="22"/>
          <w:szCs w:val="22"/>
        </w:rPr>
        <w:t xml:space="preserve"> bursa-</w:t>
      </w:r>
      <w:proofErr w:type="spellStart"/>
      <w:r w:rsidRPr="00116539">
        <w:rPr>
          <w:rFonts w:ascii="Calibri" w:hAnsi="Calibri" w:cs="Calibri"/>
          <w:iCs w:val="0"/>
          <w:sz w:val="22"/>
          <w:szCs w:val="22"/>
        </w:rPr>
        <w:t>pastoris</w:t>
      </w:r>
      <w:proofErr w:type="spellEnd"/>
      <w:r w:rsidRPr="00116539">
        <w:rPr>
          <w:rFonts w:ascii="Calibri" w:hAnsi="Calibri" w:cs="Calibri"/>
          <w:i w:val="0"/>
          <w:iCs w:val="0"/>
          <w:sz w:val="22"/>
          <w:szCs w:val="22"/>
        </w:rPr>
        <w:t xml:space="preserve">, maruna bezwonna </w:t>
      </w:r>
      <w:proofErr w:type="spellStart"/>
      <w:r w:rsidRPr="00116539">
        <w:rPr>
          <w:rFonts w:ascii="Calibri" w:hAnsi="Calibri" w:cs="Calibri"/>
          <w:iCs w:val="0"/>
          <w:sz w:val="22"/>
          <w:szCs w:val="22"/>
        </w:rPr>
        <w:t>Tripleurospemum</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inodorum</w:t>
      </w:r>
      <w:proofErr w:type="spellEnd"/>
      <w:r w:rsidRPr="00116539">
        <w:rPr>
          <w:rFonts w:ascii="Calibri" w:hAnsi="Calibri" w:cs="Calibri"/>
          <w:i w:val="0"/>
          <w:iCs w:val="0"/>
          <w:sz w:val="22"/>
          <w:szCs w:val="22"/>
        </w:rPr>
        <w:t xml:space="preserve"> i wiele innych. Na florystyczną uwagę zasługuje duża populacja kozibrodu łąkowego </w:t>
      </w:r>
      <w:proofErr w:type="spellStart"/>
      <w:r w:rsidRPr="00116539">
        <w:rPr>
          <w:rFonts w:ascii="Calibri" w:hAnsi="Calibri" w:cs="Calibri"/>
          <w:iCs w:val="0"/>
          <w:sz w:val="22"/>
          <w:szCs w:val="22"/>
        </w:rPr>
        <w:t>Tragopogon</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pratensis</w:t>
      </w:r>
      <w:proofErr w:type="spellEnd"/>
      <w:r w:rsidRPr="00116539">
        <w:rPr>
          <w:rFonts w:ascii="Calibri" w:hAnsi="Calibri" w:cs="Calibri"/>
          <w:i w:val="0"/>
          <w:iCs w:val="0"/>
          <w:sz w:val="22"/>
          <w:szCs w:val="22"/>
        </w:rPr>
        <w:t xml:space="preserve">.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 xml:space="preserve">Z przedstawionego powyżej opisu wynika, że projektowane inwestycje drogowe we wsi Rakowiec nie spowodują żadnych strat w zasobach roślin i siedlisk chronionych.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 xml:space="preserve">Inwentaryzacja awifauny, na potrzeby KIP, została wykonana w okresie lęgowym ptaków. Obserwacje prowadzono w dniach 19 czerwca (kontrola dzienna) oraz 23 czerwca (kontrola poranna) 2021 roku. Na terenie objętym kontrolą stwierdzono występowanie 28 gatunków ptaków, z których dwa są gatunkami łownymi (bażant </w:t>
      </w:r>
      <w:proofErr w:type="spellStart"/>
      <w:r w:rsidRPr="00116539">
        <w:rPr>
          <w:rFonts w:ascii="Calibri" w:hAnsi="Calibri" w:cs="Calibri"/>
          <w:iCs w:val="0"/>
          <w:sz w:val="22"/>
          <w:szCs w:val="22"/>
        </w:rPr>
        <w:t>Phasianus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colchicus</w:t>
      </w:r>
      <w:proofErr w:type="spellEnd"/>
      <w:r w:rsidRPr="00116539">
        <w:rPr>
          <w:rFonts w:ascii="Calibri" w:hAnsi="Calibri" w:cs="Calibri"/>
          <w:i w:val="0"/>
          <w:iCs w:val="0"/>
          <w:sz w:val="22"/>
          <w:szCs w:val="22"/>
        </w:rPr>
        <w:t xml:space="preserve"> i grzywacz </w:t>
      </w:r>
      <w:proofErr w:type="spellStart"/>
      <w:r w:rsidRPr="00116539">
        <w:rPr>
          <w:rFonts w:ascii="Calibri" w:hAnsi="Calibri" w:cs="Calibri"/>
          <w:iCs w:val="0"/>
          <w:sz w:val="22"/>
          <w:szCs w:val="22"/>
        </w:rPr>
        <w:t>Columba</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palumbus</w:t>
      </w:r>
      <w:proofErr w:type="spellEnd"/>
      <w:r w:rsidRPr="00116539">
        <w:rPr>
          <w:rFonts w:ascii="Calibri" w:hAnsi="Calibri" w:cs="Calibri"/>
          <w:i w:val="0"/>
          <w:iCs w:val="0"/>
          <w:sz w:val="22"/>
          <w:szCs w:val="22"/>
        </w:rPr>
        <w:t xml:space="preserve">), dwa podlegają ochronie częściowej (kruk </w:t>
      </w:r>
      <w:proofErr w:type="spellStart"/>
      <w:r w:rsidRPr="00116539">
        <w:rPr>
          <w:rFonts w:ascii="Calibri" w:hAnsi="Calibri" w:cs="Calibri"/>
          <w:iCs w:val="0"/>
          <w:sz w:val="22"/>
          <w:szCs w:val="22"/>
        </w:rPr>
        <w:t>Corvus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corax</w:t>
      </w:r>
      <w:proofErr w:type="spellEnd"/>
      <w:r w:rsidRPr="00116539">
        <w:rPr>
          <w:rFonts w:ascii="Calibri" w:hAnsi="Calibri" w:cs="Calibri"/>
          <w:i w:val="0"/>
          <w:iCs w:val="0"/>
          <w:sz w:val="22"/>
          <w:szCs w:val="22"/>
        </w:rPr>
        <w:t xml:space="preserve"> i sroka </w:t>
      </w:r>
      <w:r w:rsidRPr="00116539">
        <w:rPr>
          <w:rFonts w:ascii="Calibri" w:hAnsi="Calibri" w:cs="Calibri"/>
          <w:iCs w:val="0"/>
          <w:sz w:val="22"/>
          <w:szCs w:val="22"/>
        </w:rPr>
        <w:t>Pica pica</w:t>
      </w:r>
      <w:r w:rsidRPr="00116539">
        <w:rPr>
          <w:rFonts w:ascii="Calibri" w:hAnsi="Calibri" w:cs="Calibri"/>
          <w:i w:val="0"/>
          <w:iCs w:val="0"/>
          <w:sz w:val="22"/>
          <w:szCs w:val="22"/>
        </w:rPr>
        <w:t xml:space="preserve">), jeden jest podgatunkiem udomowionym, hodowanym (gołąb domowy </w:t>
      </w:r>
      <w:proofErr w:type="spellStart"/>
      <w:r w:rsidRPr="00116539">
        <w:rPr>
          <w:rFonts w:ascii="Calibri" w:hAnsi="Calibri" w:cs="Calibri"/>
          <w:iCs w:val="0"/>
          <w:sz w:val="22"/>
          <w:szCs w:val="22"/>
        </w:rPr>
        <w:t>Columba</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livia</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domestica</w:t>
      </w:r>
      <w:proofErr w:type="spellEnd"/>
      <w:r w:rsidRPr="00116539">
        <w:rPr>
          <w:rFonts w:ascii="Calibri" w:hAnsi="Calibri" w:cs="Calibri"/>
          <w:i w:val="0"/>
          <w:iCs w:val="0"/>
          <w:sz w:val="22"/>
          <w:szCs w:val="22"/>
        </w:rPr>
        <w:t xml:space="preserve">), a pozostałe 23 to gatunki podlegające w Polsce ochronie ścisłej (bogatka </w:t>
      </w:r>
      <w:proofErr w:type="spellStart"/>
      <w:r w:rsidRPr="00116539">
        <w:rPr>
          <w:rFonts w:ascii="Calibri" w:hAnsi="Calibri" w:cs="Calibri"/>
          <w:iCs w:val="0"/>
          <w:sz w:val="22"/>
          <w:szCs w:val="22"/>
        </w:rPr>
        <w:t>Parus</w:t>
      </w:r>
      <w:proofErr w:type="spellEnd"/>
      <w:r w:rsidRPr="00116539">
        <w:rPr>
          <w:rFonts w:ascii="Calibri" w:hAnsi="Calibri" w:cs="Calibri"/>
          <w:iCs w:val="0"/>
          <w:sz w:val="22"/>
          <w:szCs w:val="22"/>
        </w:rPr>
        <w:t xml:space="preserve"> major</w:t>
      </w:r>
      <w:r w:rsidRPr="00116539">
        <w:rPr>
          <w:rFonts w:ascii="Calibri" w:hAnsi="Calibri" w:cs="Calibri"/>
          <w:i w:val="0"/>
          <w:iCs w:val="0"/>
          <w:sz w:val="22"/>
          <w:szCs w:val="22"/>
        </w:rPr>
        <w:t xml:space="preserve">, dzwoniec </w:t>
      </w:r>
      <w:proofErr w:type="spellStart"/>
      <w:r w:rsidRPr="00116539">
        <w:rPr>
          <w:rFonts w:ascii="Calibri" w:hAnsi="Calibri" w:cs="Calibri"/>
          <w:iCs w:val="0"/>
          <w:sz w:val="22"/>
          <w:szCs w:val="22"/>
        </w:rPr>
        <w:t>Carduelis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chloris</w:t>
      </w:r>
      <w:proofErr w:type="spellEnd"/>
      <w:r w:rsidRPr="00116539">
        <w:rPr>
          <w:rFonts w:ascii="Calibri" w:hAnsi="Calibri" w:cs="Calibri"/>
          <w:i w:val="0"/>
          <w:iCs w:val="0"/>
          <w:sz w:val="22"/>
          <w:szCs w:val="22"/>
        </w:rPr>
        <w:t xml:space="preserve">, dzięcioł duży </w:t>
      </w:r>
      <w:proofErr w:type="spellStart"/>
      <w:r w:rsidRPr="00116539">
        <w:rPr>
          <w:rFonts w:ascii="Calibri" w:hAnsi="Calibri" w:cs="Calibri"/>
          <w:iCs w:val="0"/>
          <w:sz w:val="22"/>
          <w:szCs w:val="22"/>
        </w:rPr>
        <w:t>Dendrocopos</w:t>
      </w:r>
      <w:proofErr w:type="spellEnd"/>
      <w:r w:rsidRPr="00116539">
        <w:rPr>
          <w:rFonts w:ascii="Calibri" w:hAnsi="Calibri" w:cs="Calibri"/>
          <w:iCs w:val="0"/>
          <w:sz w:val="22"/>
          <w:szCs w:val="22"/>
        </w:rPr>
        <w:t xml:space="preserve"> major</w:t>
      </w:r>
      <w:r w:rsidRPr="00116539">
        <w:rPr>
          <w:rFonts w:ascii="Calibri" w:hAnsi="Calibri" w:cs="Calibri"/>
          <w:i w:val="0"/>
          <w:iCs w:val="0"/>
          <w:sz w:val="22"/>
          <w:szCs w:val="22"/>
        </w:rPr>
        <w:t xml:space="preserve">, dzięcioł zielony </w:t>
      </w:r>
      <w:proofErr w:type="spellStart"/>
      <w:r w:rsidRPr="00116539">
        <w:rPr>
          <w:rFonts w:ascii="Calibri" w:hAnsi="Calibri" w:cs="Calibri"/>
          <w:iCs w:val="0"/>
          <w:sz w:val="22"/>
          <w:szCs w:val="22"/>
        </w:rPr>
        <w:t>Picus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viridis</w:t>
      </w:r>
      <w:proofErr w:type="spellEnd"/>
      <w:r w:rsidRPr="00116539">
        <w:rPr>
          <w:rFonts w:ascii="Calibri" w:hAnsi="Calibri" w:cs="Calibri"/>
          <w:i w:val="0"/>
          <w:iCs w:val="0"/>
          <w:sz w:val="22"/>
          <w:szCs w:val="22"/>
        </w:rPr>
        <w:t xml:space="preserve">, gawron </w:t>
      </w:r>
      <w:proofErr w:type="spellStart"/>
      <w:r w:rsidRPr="00116539">
        <w:rPr>
          <w:rFonts w:ascii="Calibri" w:hAnsi="Calibri" w:cs="Calibri"/>
          <w:iCs w:val="0"/>
          <w:sz w:val="22"/>
          <w:szCs w:val="22"/>
        </w:rPr>
        <w:t>Corvus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frugilegus</w:t>
      </w:r>
      <w:proofErr w:type="spellEnd"/>
      <w:r w:rsidRPr="00116539">
        <w:rPr>
          <w:rFonts w:ascii="Calibri" w:hAnsi="Calibri" w:cs="Calibri"/>
          <w:i w:val="0"/>
          <w:iCs w:val="0"/>
          <w:sz w:val="22"/>
          <w:szCs w:val="22"/>
        </w:rPr>
        <w:t xml:space="preserve">, jerzyk </w:t>
      </w:r>
      <w:proofErr w:type="spellStart"/>
      <w:r w:rsidRPr="00116539">
        <w:rPr>
          <w:rFonts w:ascii="Calibri" w:hAnsi="Calibri" w:cs="Calibri"/>
          <w:iCs w:val="0"/>
          <w:sz w:val="22"/>
          <w:szCs w:val="22"/>
        </w:rPr>
        <w:t>Apus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apus</w:t>
      </w:r>
      <w:proofErr w:type="spellEnd"/>
      <w:r w:rsidRPr="00116539">
        <w:rPr>
          <w:rFonts w:ascii="Calibri" w:hAnsi="Calibri" w:cs="Calibri"/>
          <w:i w:val="0"/>
          <w:iCs w:val="0"/>
          <w:sz w:val="22"/>
          <w:szCs w:val="22"/>
        </w:rPr>
        <w:t xml:space="preserve">, kos </w:t>
      </w:r>
      <w:proofErr w:type="spellStart"/>
      <w:r w:rsidRPr="00116539">
        <w:rPr>
          <w:rFonts w:ascii="Calibri" w:hAnsi="Calibri" w:cs="Calibri"/>
          <w:iCs w:val="0"/>
          <w:sz w:val="22"/>
          <w:szCs w:val="22"/>
        </w:rPr>
        <w:t>Turdus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merula</w:t>
      </w:r>
      <w:proofErr w:type="spellEnd"/>
      <w:r w:rsidRPr="00116539">
        <w:rPr>
          <w:rFonts w:ascii="Calibri" w:hAnsi="Calibri" w:cs="Calibri"/>
          <w:i w:val="0"/>
          <w:iCs w:val="0"/>
          <w:sz w:val="22"/>
          <w:szCs w:val="22"/>
        </w:rPr>
        <w:t xml:space="preserve">, mazurek </w:t>
      </w:r>
      <w:proofErr w:type="spellStart"/>
      <w:r w:rsidRPr="00116539">
        <w:rPr>
          <w:rFonts w:ascii="Calibri" w:hAnsi="Calibri" w:cs="Calibri"/>
          <w:iCs w:val="0"/>
          <w:sz w:val="22"/>
          <w:szCs w:val="22"/>
        </w:rPr>
        <w:t>Passer</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montanus</w:t>
      </w:r>
      <w:proofErr w:type="spellEnd"/>
      <w:r w:rsidRPr="00116539">
        <w:rPr>
          <w:rFonts w:ascii="Calibri" w:hAnsi="Calibri" w:cs="Calibri"/>
          <w:i w:val="0"/>
          <w:iCs w:val="0"/>
          <w:sz w:val="22"/>
          <w:szCs w:val="22"/>
        </w:rPr>
        <w:t xml:space="preserve">, myszołów zwyczajny </w:t>
      </w:r>
      <w:proofErr w:type="spellStart"/>
      <w:r w:rsidRPr="00116539">
        <w:rPr>
          <w:rFonts w:ascii="Calibri" w:hAnsi="Calibri" w:cs="Calibri"/>
          <w:iCs w:val="0"/>
          <w:sz w:val="22"/>
          <w:szCs w:val="22"/>
        </w:rPr>
        <w:t>Buteo</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buteo</w:t>
      </w:r>
      <w:proofErr w:type="spellEnd"/>
      <w:r w:rsidRPr="00116539">
        <w:rPr>
          <w:rFonts w:ascii="Calibri" w:hAnsi="Calibri" w:cs="Calibri"/>
          <w:i w:val="0"/>
          <w:iCs w:val="0"/>
          <w:sz w:val="22"/>
          <w:szCs w:val="22"/>
        </w:rPr>
        <w:t xml:space="preserve">, modraszka </w:t>
      </w:r>
      <w:proofErr w:type="spellStart"/>
      <w:r w:rsidRPr="00116539">
        <w:rPr>
          <w:rFonts w:ascii="Calibri" w:hAnsi="Calibri" w:cs="Calibri"/>
          <w:iCs w:val="0"/>
          <w:sz w:val="22"/>
          <w:szCs w:val="22"/>
        </w:rPr>
        <w:t>Parus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caeruleus</w:t>
      </w:r>
      <w:proofErr w:type="spellEnd"/>
      <w:r w:rsidRPr="00116539">
        <w:rPr>
          <w:rFonts w:ascii="Calibri" w:hAnsi="Calibri" w:cs="Calibri"/>
          <w:i w:val="0"/>
          <w:iCs w:val="0"/>
          <w:sz w:val="22"/>
          <w:szCs w:val="22"/>
        </w:rPr>
        <w:t xml:space="preserve">, piegża </w:t>
      </w:r>
      <w:r w:rsidRPr="00116539">
        <w:rPr>
          <w:rFonts w:ascii="Calibri" w:hAnsi="Calibri" w:cs="Calibri"/>
          <w:iCs w:val="0"/>
          <w:sz w:val="22"/>
          <w:szCs w:val="22"/>
        </w:rPr>
        <w:t xml:space="preserve">Sylvia </w:t>
      </w:r>
      <w:proofErr w:type="spellStart"/>
      <w:r w:rsidRPr="00116539">
        <w:rPr>
          <w:rFonts w:ascii="Calibri" w:hAnsi="Calibri" w:cs="Calibri"/>
          <w:iCs w:val="0"/>
          <w:sz w:val="22"/>
          <w:szCs w:val="22"/>
        </w:rPr>
        <w:t>curruca</w:t>
      </w:r>
      <w:proofErr w:type="spellEnd"/>
      <w:r w:rsidRPr="00116539">
        <w:rPr>
          <w:rFonts w:ascii="Calibri" w:hAnsi="Calibri" w:cs="Calibri"/>
          <w:i w:val="0"/>
          <w:iCs w:val="0"/>
          <w:sz w:val="22"/>
          <w:szCs w:val="22"/>
        </w:rPr>
        <w:t xml:space="preserve">, pleszka </w:t>
      </w:r>
      <w:proofErr w:type="spellStart"/>
      <w:r w:rsidRPr="00116539">
        <w:rPr>
          <w:rFonts w:ascii="Calibri" w:hAnsi="Calibri" w:cs="Calibri"/>
          <w:iCs w:val="0"/>
          <w:sz w:val="22"/>
          <w:szCs w:val="22"/>
        </w:rPr>
        <w:t>Phoenicurus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phoenicurus</w:t>
      </w:r>
      <w:proofErr w:type="spellEnd"/>
      <w:r w:rsidRPr="00116539">
        <w:rPr>
          <w:rFonts w:ascii="Calibri" w:hAnsi="Calibri" w:cs="Calibri"/>
          <w:i w:val="0"/>
          <w:iCs w:val="0"/>
          <w:sz w:val="22"/>
          <w:szCs w:val="22"/>
        </w:rPr>
        <w:t xml:space="preserve">, pliszka siwa </w:t>
      </w:r>
      <w:proofErr w:type="spellStart"/>
      <w:r w:rsidRPr="00116539">
        <w:rPr>
          <w:rFonts w:ascii="Calibri" w:hAnsi="Calibri" w:cs="Calibri"/>
          <w:iCs w:val="0"/>
          <w:sz w:val="22"/>
          <w:szCs w:val="22"/>
        </w:rPr>
        <w:t>Motacilla</w:t>
      </w:r>
      <w:proofErr w:type="spellEnd"/>
      <w:r w:rsidRPr="00116539">
        <w:rPr>
          <w:rFonts w:ascii="Calibri" w:hAnsi="Calibri" w:cs="Calibri"/>
          <w:iCs w:val="0"/>
          <w:sz w:val="22"/>
          <w:szCs w:val="22"/>
        </w:rPr>
        <w:t xml:space="preserve"> alba</w:t>
      </w:r>
      <w:r w:rsidRPr="00116539">
        <w:rPr>
          <w:rFonts w:ascii="Calibri" w:hAnsi="Calibri" w:cs="Calibri"/>
          <w:i w:val="0"/>
          <w:iCs w:val="0"/>
          <w:sz w:val="22"/>
          <w:szCs w:val="22"/>
        </w:rPr>
        <w:t xml:space="preserve">, potrzeszcz </w:t>
      </w:r>
      <w:proofErr w:type="spellStart"/>
      <w:r w:rsidRPr="00116539">
        <w:rPr>
          <w:rFonts w:ascii="Calibri" w:hAnsi="Calibri" w:cs="Calibri"/>
          <w:iCs w:val="0"/>
          <w:sz w:val="22"/>
          <w:szCs w:val="22"/>
        </w:rPr>
        <w:t>Emberiza</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calandra</w:t>
      </w:r>
      <w:proofErr w:type="spellEnd"/>
      <w:r w:rsidRPr="00116539">
        <w:rPr>
          <w:rFonts w:ascii="Calibri" w:hAnsi="Calibri" w:cs="Calibri"/>
          <w:i w:val="0"/>
          <w:iCs w:val="0"/>
          <w:sz w:val="22"/>
          <w:szCs w:val="22"/>
        </w:rPr>
        <w:t xml:space="preserve">, pustułka </w:t>
      </w:r>
      <w:proofErr w:type="spellStart"/>
      <w:r w:rsidRPr="00116539">
        <w:rPr>
          <w:rFonts w:ascii="Calibri" w:hAnsi="Calibri" w:cs="Calibri"/>
          <w:iCs w:val="0"/>
          <w:sz w:val="22"/>
          <w:szCs w:val="22"/>
        </w:rPr>
        <w:t>Falco</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tinnunculus</w:t>
      </w:r>
      <w:proofErr w:type="spellEnd"/>
      <w:r w:rsidRPr="00116539">
        <w:rPr>
          <w:rFonts w:ascii="Calibri" w:hAnsi="Calibri" w:cs="Calibri"/>
          <w:i w:val="0"/>
          <w:iCs w:val="0"/>
          <w:sz w:val="22"/>
          <w:szCs w:val="22"/>
        </w:rPr>
        <w:t xml:space="preserve">, rudzik </w:t>
      </w:r>
      <w:proofErr w:type="spellStart"/>
      <w:r w:rsidRPr="00116539">
        <w:rPr>
          <w:rFonts w:ascii="Calibri" w:hAnsi="Calibri" w:cs="Calibri"/>
          <w:iCs w:val="0"/>
          <w:sz w:val="22"/>
          <w:szCs w:val="22"/>
        </w:rPr>
        <w:t>Erithiacus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rubecula</w:t>
      </w:r>
      <w:proofErr w:type="spellEnd"/>
      <w:r w:rsidRPr="00116539">
        <w:rPr>
          <w:rFonts w:ascii="Calibri" w:hAnsi="Calibri" w:cs="Calibri"/>
          <w:i w:val="0"/>
          <w:iCs w:val="0"/>
          <w:sz w:val="22"/>
          <w:szCs w:val="22"/>
        </w:rPr>
        <w:t xml:space="preserve">, skowronek </w:t>
      </w:r>
      <w:proofErr w:type="spellStart"/>
      <w:r w:rsidRPr="00116539">
        <w:rPr>
          <w:rFonts w:ascii="Calibri" w:hAnsi="Calibri" w:cs="Calibri"/>
          <w:iCs w:val="0"/>
          <w:sz w:val="22"/>
          <w:szCs w:val="22"/>
        </w:rPr>
        <w:t>Alauda</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arvensis</w:t>
      </w:r>
      <w:proofErr w:type="spellEnd"/>
      <w:r w:rsidRPr="00116539">
        <w:rPr>
          <w:rFonts w:ascii="Calibri" w:hAnsi="Calibri" w:cs="Calibri"/>
          <w:i w:val="0"/>
          <w:iCs w:val="0"/>
          <w:sz w:val="22"/>
          <w:szCs w:val="22"/>
        </w:rPr>
        <w:t xml:space="preserve">, sójka </w:t>
      </w:r>
      <w:proofErr w:type="spellStart"/>
      <w:r w:rsidRPr="00116539">
        <w:rPr>
          <w:rFonts w:ascii="Calibri" w:hAnsi="Calibri" w:cs="Calibri"/>
          <w:iCs w:val="0"/>
          <w:sz w:val="22"/>
          <w:szCs w:val="22"/>
        </w:rPr>
        <w:t>Garrulus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glandarius</w:t>
      </w:r>
      <w:proofErr w:type="spellEnd"/>
      <w:r w:rsidRPr="00116539">
        <w:rPr>
          <w:rFonts w:ascii="Calibri" w:hAnsi="Calibri" w:cs="Calibri"/>
          <w:i w:val="0"/>
          <w:iCs w:val="0"/>
          <w:sz w:val="22"/>
          <w:szCs w:val="22"/>
        </w:rPr>
        <w:t xml:space="preserve">, szpak </w:t>
      </w:r>
      <w:proofErr w:type="spellStart"/>
      <w:r w:rsidRPr="00116539">
        <w:rPr>
          <w:rFonts w:ascii="Calibri" w:hAnsi="Calibri" w:cs="Calibri"/>
          <w:iCs w:val="0"/>
          <w:sz w:val="22"/>
          <w:szCs w:val="22"/>
        </w:rPr>
        <w:t>Sturnus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vulgaris</w:t>
      </w:r>
      <w:proofErr w:type="spellEnd"/>
      <w:r w:rsidRPr="00116539">
        <w:rPr>
          <w:rFonts w:ascii="Calibri" w:hAnsi="Calibri" w:cs="Calibri"/>
          <w:i w:val="0"/>
          <w:iCs w:val="0"/>
          <w:sz w:val="22"/>
          <w:szCs w:val="22"/>
        </w:rPr>
        <w:t xml:space="preserve">, świstunka leśna </w:t>
      </w:r>
      <w:proofErr w:type="spellStart"/>
      <w:r w:rsidRPr="00116539">
        <w:rPr>
          <w:rFonts w:ascii="Calibri" w:hAnsi="Calibri" w:cs="Calibri"/>
          <w:iCs w:val="0"/>
          <w:sz w:val="22"/>
          <w:szCs w:val="22"/>
        </w:rPr>
        <w:t>Phylloscopus</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sibilatrix</w:t>
      </w:r>
      <w:proofErr w:type="spellEnd"/>
      <w:r w:rsidRPr="00116539">
        <w:rPr>
          <w:rFonts w:ascii="Calibri" w:hAnsi="Calibri" w:cs="Calibri"/>
          <w:i w:val="0"/>
          <w:iCs w:val="0"/>
          <w:sz w:val="22"/>
          <w:szCs w:val="22"/>
        </w:rPr>
        <w:t xml:space="preserve">, trznadel </w:t>
      </w:r>
      <w:proofErr w:type="spellStart"/>
      <w:r w:rsidRPr="00116539">
        <w:rPr>
          <w:rFonts w:ascii="Calibri" w:hAnsi="Calibri" w:cs="Calibri"/>
          <w:iCs w:val="0"/>
          <w:sz w:val="22"/>
          <w:szCs w:val="22"/>
        </w:rPr>
        <w:t>Emberiza</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lastRenderedPageBreak/>
        <w:t>citrinella</w:t>
      </w:r>
      <w:proofErr w:type="spellEnd"/>
      <w:r w:rsidRPr="00116539">
        <w:rPr>
          <w:rFonts w:ascii="Calibri" w:hAnsi="Calibri" w:cs="Calibri"/>
          <w:i w:val="0"/>
          <w:iCs w:val="0"/>
          <w:sz w:val="22"/>
          <w:szCs w:val="22"/>
        </w:rPr>
        <w:t xml:space="preserve">, wróbel </w:t>
      </w:r>
      <w:proofErr w:type="spellStart"/>
      <w:r w:rsidRPr="00116539">
        <w:rPr>
          <w:rFonts w:ascii="Calibri" w:hAnsi="Calibri" w:cs="Calibri"/>
          <w:iCs w:val="0"/>
          <w:sz w:val="22"/>
          <w:szCs w:val="22"/>
        </w:rPr>
        <w:t>Passer</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domesticus</w:t>
      </w:r>
      <w:proofErr w:type="spellEnd"/>
      <w:r w:rsidRPr="00116539">
        <w:rPr>
          <w:rFonts w:ascii="Calibri" w:hAnsi="Calibri" w:cs="Calibri"/>
          <w:i w:val="0"/>
          <w:iCs w:val="0"/>
          <w:sz w:val="22"/>
          <w:szCs w:val="22"/>
        </w:rPr>
        <w:t xml:space="preserve">, zięba </w:t>
      </w:r>
      <w:proofErr w:type="spellStart"/>
      <w:r w:rsidRPr="00116539">
        <w:rPr>
          <w:rFonts w:ascii="Calibri" w:hAnsi="Calibri" w:cs="Calibri"/>
          <w:iCs w:val="0"/>
          <w:sz w:val="22"/>
          <w:szCs w:val="22"/>
        </w:rPr>
        <w:t>Fringilla</w:t>
      </w:r>
      <w:proofErr w:type="spellEnd"/>
      <w:r w:rsidRPr="00116539">
        <w:rPr>
          <w:rFonts w:ascii="Calibri" w:hAnsi="Calibri" w:cs="Calibri"/>
          <w:iCs w:val="0"/>
          <w:sz w:val="22"/>
          <w:szCs w:val="22"/>
        </w:rPr>
        <w:t xml:space="preserve"> </w:t>
      </w:r>
      <w:proofErr w:type="spellStart"/>
      <w:r w:rsidRPr="00116539">
        <w:rPr>
          <w:rFonts w:ascii="Calibri" w:hAnsi="Calibri" w:cs="Calibri"/>
          <w:iCs w:val="0"/>
          <w:sz w:val="22"/>
          <w:szCs w:val="22"/>
        </w:rPr>
        <w:t>coelebs</w:t>
      </w:r>
      <w:proofErr w:type="spellEnd"/>
      <w:r w:rsidRPr="00116539">
        <w:rPr>
          <w:rFonts w:ascii="Calibri" w:hAnsi="Calibri" w:cs="Calibri"/>
          <w:i w:val="0"/>
          <w:iCs w:val="0"/>
          <w:sz w:val="22"/>
          <w:szCs w:val="22"/>
        </w:rPr>
        <w:t xml:space="preserve">).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 xml:space="preserve">Przedmiotowa inwestycja położona jest poza obszarami europejskiej sieci Natura 2000.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 xml:space="preserve">Najbliżej położone obszary Natura 2000 to: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 xml:space="preserve">— ok. 10,72 km na zachód: Dolina Dolnej Wisły PLB040003;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 xml:space="preserve">— ok. 10,72 km na zachód: Dolina Wisły PLH220033.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 xml:space="preserve">Inne najbliżej położone obszary objęte ochroną na podstawie przepisów ustawy z dnia 16 kwietnia 2004 r. o ochronie przyrody (tekst jedn. Dz. U. z 2021 r., poz. 1098) to zlokalizowany: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 xml:space="preserve">— ok. 1,79 km na północ: Morawski Obszar Chronionego Krajobrazu;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 xml:space="preserve">— ok. 2,98 km na południowy zachód: </w:t>
      </w:r>
      <w:proofErr w:type="spellStart"/>
      <w:r w:rsidRPr="00116539">
        <w:rPr>
          <w:rFonts w:ascii="Calibri" w:hAnsi="Calibri" w:cs="Calibri"/>
          <w:i w:val="0"/>
          <w:iCs w:val="0"/>
          <w:sz w:val="22"/>
          <w:szCs w:val="22"/>
        </w:rPr>
        <w:t>Sadliński</w:t>
      </w:r>
      <w:proofErr w:type="spellEnd"/>
      <w:r w:rsidRPr="00116539">
        <w:rPr>
          <w:rFonts w:ascii="Calibri" w:hAnsi="Calibri" w:cs="Calibri"/>
          <w:i w:val="0"/>
          <w:iCs w:val="0"/>
          <w:sz w:val="22"/>
          <w:szCs w:val="22"/>
        </w:rPr>
        <w:t xml:space="preserve"> Obszar Chronionego Krajobrazu.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 xml:space="preserve">W opinii tut. organu planowana inwestycja nie będzie negatywnie oddziaływać na ww. obszary Natura 2000. Z uwagi na odległość od ww. obszarów Natura 2000 oraz charakter i zakres planowanej inwestycji nie spowoduje ona utraty powierzchni, ani fragmentacji siedlisk gatunków chronionych w granicach ww. obszarów Natura 2000. Lokalizacja przedsięwzięcia wyklucza również jego wpływ na warunki ekologiczne ostoi. Tym samym nie pogorszy stanu ochrony siedlisk gatunków chronionych w granicach ww. obszarów Natura 2000, nie zaburzy integralności poszczególnych obszarów Natura 2000 ani sieci Natura 2000 jako całości. Dlatego też nie jest konieczne przeprowadzenie oceny w trybie art. 6.3 Dyrektywy Rady 92/43/EWG.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 xml:space="preserve">Ponadto z uwagi na położenie poza granicami obszarów chronionych objętych ochroną na podstawie przepisów ww. ustawy z dnia 16 kwietnia 2004 r. o ochronie przyrody oraz przy uwzględnieniu charakteru i skali inwestycji, przedsięwzięcie nie narusza przepisów w tym zakresie. Niemniej podkreślenia wymaga fakt, iż decyzja o środowiskowych uwarunkowaniach nie zastępuje zezwolenia wydanego w trybie art. 56 ustawy o ochronie przyrody. Na ewentualne zniszczenie siedlisk, okazów, gniazd, płoszenie lub przenoszenie gatunków znajdujących się pod ochroną należy uzyskać zezwolenie w trybie art. 56 ust. 1 ustawy o ochronie przyrody. </w:t>
      </w:r>
    </w:p>
    <w:p w:rsidR="00116539" w:rsidRPr="00116539" w:rsidRDefault="00116539" w:rsidP="00116539">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116539">
        <w:rPr>
          <w:rFonts w:ascii="Calibri" w:hAnsi="Calibri" w:cs="Calibri"/>
          <w:i w:val="0"/>
          <w:iCs w:val="0"/>
          <w:sz w:val="22"/>
          <w:szCs w:val="22"/>
        </w:rPr>
        <w:t>Przedsięwzięcie położone jest poza granicami korytarzy ekologicznych, nie będzie zatem wpływać na ich drożność i ciągłość. Najbliższy regionalny korytarz ekologiczny znajduje się w odległości ok. 4 m na północ od planowanej inwestycji — Lasy Iławskie- Bory Tucholskie GKPn-14A.</w:t>
      </w:r>
    </w:p>
    <w:p w:rsidR="008409CE" w:rsidRPr="00750558" w:rsidRDefault="008409CE" w:rsidP="00116539">
      <w:pPr>
        <w:widowControl/>
        <w:suppressAutoHyphens/>
        <w:autoSpaceDE/>
        <w:autoSpaceDN/>
        <w:adjustRightInd/>
        <w:spacing w:line="360" w:lineRule="auto"/>
        <w:jc w:val="both"/>
        <w:rPr>
          <w:rFonts w:ascii="Calibri" w:hAnsi="Calibri" w:cs="Times New Roman"/>
          <w:i w:val="0"/>
          <w:iCs w:val="0"/>
          <w:color w:val="FF0000"/>
          <w:sz w:val="22"/>
          <w:szCs w:val="22"/>
        </w:rPr>
      </w:pPr>
      <w:bookmarkStart w:id="0" w:name="_GoBack"/>
      <w:bookmarkEnd w:id="0"/>
    </w:p>
    <w:sectPr w:rsidR="008409CE" w:rsidRPr="00750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C60618"/>
    <w:lvl w:ilvl="0">
      <w:numFmt w:val="bullet"/>
      <w:lvlText w:val="*"/>
      <w:lvlJc w:val="left"/>
    </w:lvl>
  </w:abstractNum>
  <w:abstractNum w:abstractNumId="1">
    <w:nsid w:val="0454AADB"/>
    <w:multiLevelType w:val="singleLevel"/>
    <w:tmpl w:val="2710D536"/>
    <w:lvl w:ilvl="0">
      <w:numFmt w:val="bullet"/>
      <w:lvlText w:val="·"/>
      <w:lvlJc w:val="left"/>
      <w:pPr>
        <w:tabs>
          <w:tab w:val="num" w:pos="1080"/>
        </w:tabs>
        <w:ind w:left="1080" w:hanging="360"/>
      </w:pPr>
      <w:rPr>
        <w:rFonts w:ascii="Symbol" w:hAnsi="Symbol" w:cs="Symbol"/>
        <w:snapToGrid/>
        <w:sz w:val="22"/>
        <w:szCs w:val="22"/>
      </w:rPr>
    </w:lvl>
  </w:abstractNum>
  <w:abstractNum w:abstractNumId="2">
    <w:nsid w:val="04CD59C5"/>
    <w:multiLevelType w:val="hybridMultilevel"/>
    <w:tmpl w:val="25626E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51C585"/>
    <w:multiLevelType w:val="singleLevel"/>
    <w:tmpl w:val="34F85E1E"/>
    <w:lvl w:ilvl="0">
      <w:numFmt w:val="bullet"/>
      <w:lvlText w:val="-"/>
      <w:lvlJc w:val="left"/>
      <w:pPr>
        <w:tabs>
          <w:tab w:val="num" w:pos="2232"/>
        </w:tabs>
        <w:ind w:left="1872"/>
      </w:pPr>
      <w:rPr>
        <w:rFonts w:ascii="Symbol" w:hAnsi="Symbol" w:cs="Symbol"/>
        <w:snapToGrid/>
        <w:spacing w:val="-1"/>
        <w:sz w:val="22"/>
        <w:szCs w:val="22"/>
      </w:rPr>
    </w:lvl>
  </w:abstractNum>
  <w:abstractNum w:abstractNumId="4">
    <w:nsid w:val="056F3589"/>
    <w:multiLevelType w:val="hybridMultilevel"/>
    <w:tmpl w:val="1724072A"/>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290439"/>
    <w:multiLevelType w:val="hybridMultilevel"/>
    <w:tmpl w:val="5A82A696"/>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637504"/>
    <w:multiLevelType w:val="hybridMultilevel"/>
    <w:tmpl w:val="DCD0C2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nsid w:val="0D936F2E"/>
    <w:multiLevelType w:val="hybridMultilevel"/>
    <w:tmpl w:val="0FD499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DD8412F"/>
    <w:multiLevelType w:val="hybridMultilevel"/>
    <w:tmpl w:val="BC1E3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D25DC6"/>
    <w:multiLevelType w:val="hybridMultilevel"/>
    <w:tmpl w:val="5C24416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14941FA8"/>
    <w:multiLevelType w:val="hybridMultilevel"/>
    <w:tmpl w:val="64A0D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87A3D29"/>
    <w:multiLevelType w:val="hybridMultilevel"/>
    <w:tmpl w:val="0120A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7A4AA3"/>
    <w:multiLevelType w:val="hybridMultilevel"/>
    <w:tmpl w:val="3D2659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235E0DA8"/>
    <w:multiLevelType w:val="hybridMultilevel"/>
    <w:tmpl w:val="21261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0990956"/>
    <w:multiLevelType w:val="hybridMultilevel"/>
    <w:tmpl w:val="CF1E6F46"/>
    <w:lvl w:ilvl="0" w:tplc="36F6C7A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2DD0B67"/>
    <w:multiLevelType w:val="hybridMultilevel"/>
    <w:tmpl w:val="5944EB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31C7C36"/>
    <w:multiLevelType w:val="hybridMultilevel"/>
    <w:tmpl w:val="F202E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4B8384D"/>
    <w:multiLevelType w:val="hybridMultilevel"/>
    <w:tmpl w:val="218C49D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364C32F6"/>
    <w:multiLevelType w:val="hybridMultilevel"/>
    <w:tmpl w:val="7F6CEEF2"/>
    <w:lvl w:ilvl="0" w:tplc="867CB294">
      <w:start w:val="1"/>
      <w:numFmt w:val="bullet"/>
      <w:lvlText w:val="-"/>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40DC6CB4"/>
    <w:multiLevelType w:val="hybridMultilevel"/>
    <w:tmpl w:val="8594E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8009DF"/>
    <w:multiLevelType w:val="hybridMultilevel"/>
    <w:tmpl w:val="BC186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78341CE"/>
    <w:multiLevelType w:val="hybridMultilevel"/>
    <w:tmpl w:val="7D4C4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839679F"/>
    <w:multiLevelType w:val="hybridMultilevel"/>
    <w:tmpl w:val="FF9A6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0C4F9D"/>
    <w:multiLevelType w:val="hybridMultilevel"/>
    <w:tmpl w:val="1CF8D782"/>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0097BF0"/>
    <w:multiLevelType w:val="hybridMultilevel"/>
    <w:tmpl w:val="D3F622D2"/>
    <w:lvl w:ilvl="0" w:tplc="F1724648">
      <w:start w:val="65535"/>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07B294C"/>
    <w:multiLevelType w:val="hybridMultilevel"/>
    <w:tmpl w:val="08FAB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2BB5A30"/>
    <w:multiLevelType w:val="hybridMultilevel"/>
    <w:tmpl w:val="380EF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2F218B2"/>
    <w:multiLevelType w:val="hybridMultilevel"/>
    <w:tmpl w:val="2B663A10"/>
    <w:lvl w:ilvl="0" w:tplc="04150001">
      <w:start w:val="1"/>
      <w:numFmt w:val="bullet"/>
      <w:lvlText w:val=""/>
      <w:lvlJc w:val="left"/>
      <w:pPr>
        <w:ind w:left="1827" w:hanging="360"/>
      </w:pPr>
      <w:rPr>
        <w:rFonts w:ascii="Symbol" w:hAnsi="Symbol" w:hint="default"/>
      </w:rPr>
    </w:lvl>
    <w:lvl w:ilvl="1" w:tplc="04150003" w:tentative="1">
      <w:start w:val="1"/>
      <w:numFmt w:val="bullet"/>
      <w:lvlText w:val="o"/>
      <w:lvlJc w:val="left"/>
      <w:pPr>
        <w:ind w:left="2547" w:hanging="360"/>
      </w:pPr>
      <w:rPr>
        <w:rFonts w:ascii="Courier New" w:hAnsi="Courier New" w:cs="Courier New" w:hint="default"/>
      </w:rPr>
    </w:lvl>
    <w:lvl w:ilvl="2" w:tplc="04150005" w:tentative="1">
      <w:start w:val="1"/>
      <w:numFmt w:val="bullet"/>
      <w:lvlText w:val=""/>
      <w:lvlJc w:val="left"/>
      <w:pPr>
        <w:ind w:left="3267" w:hanging="360"/>
      </w:pPr>
      <w:rPr>
        <w:rFonts w:ascii="Wingdings" w:hAnsi="Wingdings" w:hint="default"/>
      </w:rPr>
    </w:lvl>
    <w:lvl w:ilvl="3" w:tplc="04150001" w:tentative="1">
      <w:start w:val="1"/>
      <w:numFmt w:val="bullet"/>
      <w:lvlText w:val=""/>
      <w:lvlJc w:val="left"/>
      <w:pPr>
        <w:ind w:left="3987" w:hanging="360"/>
      </w:pPr>
      <w:rPr>
        <w:rFonts w:ascii="Symbol" w:hAnsi="Symbol" w:hint="default"/>
      </w:rPr>
    </w:lvl>
    <w:lvl w:ilvl="4" w:tplc="04150003" w:tentative="1">
      <w:start w:val="1"/>
      <w:numFmt w:val="bullet"/>
      <w:lvlText w:val="o"/>
      <w:lvlJc w:val="left"/>
      <w:pPr>
        <w:ind w:left="4707" w:hanging="360"/>
      </w:pPr>
      <w:rPr>
        <w:rFonts w:ascii="Courier New" w:hAnsi="Courier New" w:cs="Courier New" w:hint="default"/>
      </w:rPr>
    </w:lvl>
    <w:lvl w:ilvl="5" w:tplc="04150005" w:tentative="1">
      <w:start w:val="1"/>
      <w:numFmt w:val="bullet"/>
      <w:lvlText w:val=""/>
      <w:lvlJc w:val="left"/>
      <w:pPr>
        <w:ind w:left="5427" w:hanging="360"/>
      </w:pPr>
      <w:rPr>
        <w:rFonts w:ascii="Wingdings" w:hAnsi="Wingdings" w:hint="default"/>
      </w:rPr>
    </w:lvl>
    <w:lvl w:ilvl="6" w:tplc="04150001" w:tentative="1">
      <w:start w:val="1"/>
      <w:numFmt w:val="bullet"/>
      <w:lvlText w:val=""/>
      <w:lvlJc w:val="left"/>
      <w:pPr>
        <w:ind w:left="6147" w:hanging="360"/>
      </w:pPr>
      <w:rPr>
        <w:rFonts w:ascii="Symbol" w:hAnsi="Symbol" w:hint="default"/>
      </w:rPr>
    </w:lvl>
    <w:lvl w:ilvl="7" w:tplc="04150003" w:tentative="1">
      <w:start w:val="1"/>
      <w:numFmt w:val="bullet"/>
      <w:lvlText w:val="o"/>
      <w:lvlJc w:val="left"/>
      <w:pPr>
        <w:ind w:left="6867" w:hanging="360"/>
      </w:pPr>
      <w:rPr>
        <w:rFonts w:ascii="Courier New" w:hAnsi="Courier New" w:cs="Courier New" w:hint="default"/>
      </w:rPr>
    </w:lvl>
    <w:lvl w:ilvl="8" w:tplc="04150005" w:tentative="1">
      <w:start w:val="1"/>
      <w:numFmt w:val="bullet"/>
      <w:lvlText w:val=""/>
      <w:lvlJc w:val="left"/>
      <w:pPr>
        <w:ind w:left="7587" w:hanging="360"/>
      </w:pPr>
      <w:rPr>
        <w:rFonts w:ascii="Wingdings" w:hAnsi="Wingdings" w:hint="default"/>
      </w:rPr>
    </w:lvl>
  </w:abstractNum>
  <w:abstractNum w:abstractNumId="28">
    <w:nsid w:val="63143C2D"/>
    <w:multiLevelType w:val="hybridMultilevel"/>
    <w:tmpl w:val="4D843518"/>
    <w:lvl w:ilvl="0" w:tplc="2B7EC9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B30AD4"/>
    <w:multiLevelType w:val="hybridMultilevel"/>
    <w:tmpl w:val="5E6CC31A"/>
    <w:lvl w:ilvl="0" w:tplc="6A1075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6940366"/>
    <w:multiLevelType w:val="hybridMultilevel"/>
    <w:tmpl w:val="AA00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75C0F09"/>
    <w:multiLevelType w:val="hybridMultilevel"/>
    <w:tmpl w:val="DB7E1E02"/>
    <w:lvl w:ilvl="0" w:tplc="EA3CA048">
      <w:start w:val="1"/>
      <w:numFmt w:val="lowerLetter"/>
      <w:lvlText w:val="%1)"/>
      <w:lvlJc w:val="left"/>
      <w:pPr>
        <w:ind w:left="720" w:hanging="360"/>
      </w:pPr>
      <w:rPr>
        <w:rFonts w:ascii="Times New Roman" w:hAnsi="Times New Roman" w:cs="Times New Roman" w:hint="default"/>
        <w:color w:val="13131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9C3C2D"/>
    <w:multiLevelType w:val="hybridMultilevel"/>
    <w:tmpl w:val="BA6EB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ECE2DAD"/>
    <w:multiLevelType w:val="hybridMultilevel"/>
    <w:tmpl w:val="241EF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62F2981"/>
    <w:multiLevelType w:val="hybridMultilevel"/>
    <w:tmpl w:val="E58A65CC"/>
    <w:lvl w:ilvl="0" w:tplc="97506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C9408D5"/>
    <w:multiLevelType w:val="hybridMultilevel"/>
    <w:tmpl w:val="4BDCA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D6A1914"/>
    <w:multiLevelType w:val="hybridMultilevel"/>
    <w:tmpl w:val="6F0CBACE"/>
    <w:lvl w:ilvl="0" w:tplc="8EB088C8">
      <w:start w:val="1"/>
      <w:numFmt w:val="bullet"/>
      <w:lvlText w:val="-"/>
      <w:lvlJc w:val="left"/>
      <w:pPr>
        <w:ind w:left="734" w:hanging="360"/>
      </w:pPr>
      <w:rPr>
        <w:rFonts w:ascii="Courier New" w:hAnsi="Courier New"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num w:numId="1">
    <w:abstractNumId w:val="12"/>
  </w:num>
  <w:num w:numId="2">
    <w:abstractNumId w:val="9"/>
  </w:num>
  <w:num w:numId="3">
    <w:abstractNumId w:val="30"/>
  </w:num>
  <w:num w:numId="4">
    <w:abstractNumId w:val="8"/>
  </w:num>
  <w:num w:numId="5">
    <w:abstractNumId w:val="10"/>
  </w:num>
  <w:num w:numId="6">
    <w:abstractNumId w:val="21"/>
  </w:num>
  <w:num w:numId="7">
    <w:abstractNumId w:val="7"/>
  </w:num>
  <w:num w:numId="8">
    <w:abstractNumId w:val="6"/>
  </w:num>
  <w:num w:numId="9">
    <w:abstractNumId w:val="17"/>
  </w:num>
  <w:num w:numId="10">
    <w:abstractNumId w:val="13"/>
  </w:num>
  <w:num w:numId="1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2">
    <w:abstractNumId w:val="24"/>
  </w:num>
  <w:num w:numId="13">
    <w:abstractNumId w:val="11"/>
  </w:num>
  <w:num w:numId="14">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15">
    <w:abstractNumId w:val="34"/>
  </w:num>
  <w:num w:numId="1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24">
    <w:abstractNumId w:val="31"/>
  </w:num>
  <w:num w:numId="25">
    <w:abstractNumId w:val="0"/>
    <w:lvlOverride w:ilvl="0">
      <w:lvl w:ilvl="0">
        <w:numFmt w:val="bullet"/>
        <w:lvlText w:val="·"/>
        <w:legacy w:legacy="1" w:legacySpace="0" w:legacyIndent="0"/>
        <w:lvlJc w:val="left"/>
        <w:rPr>
          <w:rFonts w:ascii="Times New Roman" w:hAnsi="Times New Roman" w:hint="default"/>
          <w:color w:val="000003"/>
        </w:rPr>
      </w:lvl>
    </w:lvlOverride>
  </w:num>
  <w:num w:numId="26">
    <w:abstractNumId w:val="28"/>
  </w:num>
  <w:num w:numId="27">
    <w:abstractNumId w:val="18"/>
  </w:num>
  <w:num w:numId="28">
    <w:abstractNumId w:val="16"/>
  </w:num>
  <w:num w:numId="29">
    <w:abstractNumId w:val="33"/>
  </w:num>
  <w:num w:numId="30">
    <w:abstractNumId w:val="27"/>
  </w:num>
  <w:num w:numId="31">
    <w:abstractNumId w:val="29"/>
  </w:num>
  <w:num w:numId="32">
    <w:abstractNumId w:val="26"/>
  </w:num>
  <w:num w:numId="33">
    <w:abstractNumId w:val="15"/>
  </w:num>
  <w:num w:numId="34">
    <w:abstractNumId w:val="25"/>
  </w:num>
  <w:num w:numId="35">
    <w:abstractNumId w:val="20"/>
  </w:num>
  <w:num w:numId="36">
    <w:abstractNumId w:val="22"/>
  </w:num>
  <w:num w:numId="37">
    <w:abstractNumId w:val="36"/>
  </w:num>
  <w:num w:numId="38">
    <w:abstractNumId w:val="23"/>
  </w:num>
  <w:num w:numId="39">
    <w:abstractNumId w:val="1"/>
  </w:num>
  <w:num w:numId="40">
    <w:abstractNumId w:val="1"/>
    <w:lvlOverride w:ilvl="0">
      <w:lvl w:ilvl="0">
        <w:numFmt w:val="bullet"/>
        <w:lvlText w:val="·"/>
        <w:lvlJc w:val="left"/>
        <w:pPr>
          <w:tabs>
            <w:tab w:val="num" w:pos="1152"/>
          </w:tabs>
          <w:ind w:left="1152" w:hanging="432"/>
        </w:pPr>
        <w:rPr>
          <w:rFonts w:ascii="Symbol" w:hAnsi="Symbol" w:cs="Symbol"/>
          <w:snapToGrid/>
          <w:sz w:val="22"/>
          <w:szCs w:val="22"/>
        </w:rPr>
      </w:lvl>
    </w:lvlOverride>
  </w:num>
  <w:num w:numId="41">
    <w:abstractNumId w:val="5"/>
  </w:num>
  <w:num w:numId="42">
    <w:abstractNumId w:val="2"/>
  </w:num>
  <w:num w:numId="43">
    <w:abstractNumId w:val="3"/>
    <w:lvlOverride w:ilvl="0">
      <w:lvl w:ilvl="0">
        <w:numFmt w:val="bullet"/>
        <w:lvlText w:val="-"/>
        <w:lvlJc w:val="left"/>
        <w:pPr>
          <w:tabs>
            <w:tab w:val="num" w:pos="1008"/>
          </w:tabs>
          <w:ind w:left="720"/>
        </w:pPr>
        <w:rPr>
          <w:rFonts w:ascii="Symbol" w:hAnsi="Symbol" w:cs="Symbol"/>
          <w:snapToGrid/>
          <w:sz w:val="22"/>
          <w:szCs w:val="22"/>
        </w:rPr>
      </w:lvl>
    </w:lvlOverride>
  </w:num>
  <w:num w:numId="44">
    <w:abstractNumId w:val="3"/>
    <w:lvlOverride w:ilvl="0">
      <w:lvl w:ilvl="0">
        <w:numFmt w:val="bullet"/>
        <w:lvlText w:val="-"/>
        <w:lvlJc w:val="left"/>
        <w:pPr>
          <w:tabs>
            <w:tab w:val="num" w:pos="1152"/>
          </w:tabs>
          <w:ind w:left="1152" w:hanging="360"/>
        </w:pPr>
        <w:rPr>
          <w:rFonts w:ascii="Symbol" w:hAnsi="Symbol" w:cs="Symbol"/>
          <w:snapToGrid/>
          <w:sz w:val="22"/>
          <w:szCs w:val="22"/>
        </w:rPr>
      </w:lvl>
    </w:lvlOverride>
  </w:num>
  <w:num w:numId="45">
    <w:abstractNumId w:val="4"/>
  </w:num>
  <w:num w:numId="46">
    <w:abstractNumId w:val="14"/>
  </w:num>
  <w:num w:numId="47">
    <w:abstractNumId w:val="19"/>
  </w:num>
  <w:num w:numId="48">
    <w:abstractNumId w:val="32"/>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3D"/>
    <w:rsid w:val="0000163D"/>
    <w:rsid w:val="000054E7"/>
    <w:rsid w:val="000215C9"/>
    <w:rsid w:val="00077303"/>
    <w:rsid w:val="000A1B0A"/>
    <w:rsid w:val="000C3AA5"/>
    <w:rsid w:val="000C3EE3"/>
    <w:rsid w:val="000D0A43"/>
    <w:rsid w:val="00116539"/>
    <w:rsid w:val="0012315B"/>
    <w:rsid w:val="001447A7"/>
    <w:rsid w:val="001626F4"/>
    <w:rsid w:val="00172C43"/>
    <w:rsid w:val="001F2A93"/>
    <w:rsid w:val="00202112"/>
    <w:rsid w:val="00211234"/>
    <w:rsid w:val="002133E3"/>
    <w:rsid w:val="00213D22"/>
    <w:rsid w:val="00245D4E"/>
    <w:rsid w:val="00265344"/>
    <w:rsid w:val="00281477"/>
    <w:rsid w:val="002A4BA6"/>
    <w:rsid w:val="002A7C79"/>
    <w:rsid w:val="003403F9"/>
    <w:rsid w:val="0035188C"/>
    <w:rsid w:val="00354198"/>
    <w:rsid w:val="00383B24"/>
    <w:rsid w:val="003A66AF"/>
    <w:rsid w:val="003E0CD4"/>
    <w:rsid w:val="004D7E6D"/>
    <w:rsid w:val="00520504"/>
    <w:rsid w:val="005239C8"/>
    <w:rsid w:val="00640AE3"/>
    <w:rsid w:val="006436B8"/>
    <w:rsid w:val="006728F7"/>
    <w:rsid w:val="006A53BF"/>
    <w:rsid w:val="006E7441"/>
    <w:rsid w:val="006F2E4E"/>
    <w:rsid w:val="007446FA"/>
    <w:rsid w:val="00750558"/>
    <w:rsid w:val="0077638F"/>
    <w:rsid w:val="007C2A12"/>
    <w:rsid w:val="007F24FE"/>
    <w:rsid w:val="008409CE"/>
    <w:rsid w:val="00850185"/>
    <w:rsid w:val="00881D7C"/>
    <w:rsid w:val="008E799E"/>
    <w:rsid w:val="008F364B"/>
    <w:rsid w:val="009012A5"/>
    <w:rsid w:val="0091318D"/>
    <w:rsid w:val="009378AE"/>
    <w:rsid w:val="0095340C"/>
    <w:rsid w:val="00977519"/>
    <w:rsid w:val="009A7DC7"/>
    <w:rsid w:val="009B0DBA"/>
    <w:rsid w:val="009B6C9B"/>
    <w:rsid w:val="009C117B"/>
    <w:rsid w:val="009D740F"/>
    <w:rsid w:val="00A04CA9"/>
    <w:rsid w:val="00A06B09"/>
    <w:rsid w:val="00A2667A"/>
    <w:rsid w:val="00B32B57"/>
    <w:rsid w:val="00B73CA3"/>
    <w:rsid w:val="00B753B5"/>
    <w:rsid w:val="00B867FE"/>
    <w:rsid w:val="00B86ADC"/>
    <w:rsid w:val="00B958D0"/>
    <w:rsid w:val="00BB573F"/>
    <w:rsid w:val="00BC5470"/>
    <w:rsid w:val="00BF7CED"/>
    <w:rsid w:val="00C15C01"/>
    <w:rsid w:val="00C565C0"/>
    <w:rsid w:val="00C77FEC"/>
    <w:rsid w:val="00CA4D7B"/>
    <w:rsid w:val="00CC0094"/>
    <w:rsid w:val="00CD31D6"/>
    <w:rsid w:val="00CD528F"/>
    <w:rsid w:val="00D22F9B"/>
    <w:rsid w:val="00D45BCB"/>
    <w:rsid w:val="00D9258B"/>
    <w:rsid w:val="00DA00AE"/>
    <w:rsid w:val="00DA5D71"/>
    <w:rsid w:val="00E21294"/>
    <w:rsid w:val="00E414CA"/>
    <w:rsid w:val="00E43991"/>
    <w:rsid w:val="00E62623"/>
    <w:rsid w:val="00E90EA4"/>
    <w:rsid w:val="00E97480"/>
    <w:rsid w:val="00EC35AC"/>
    <w:rsid w:val="00F05A52"/>
    <w:rsid w:val="00F85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Obiekt,List Paragraph1,Numerowanie,List Paragraph,Z lewej:  0,63 cm,Wysunięcie:  0,Akapit z listą1,Liste à puces retrait droite"/>
    <w:basedOn w:val="Normalny"/>
    <w:link w:val="AkapitzlistZnak"/>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 w:type="character" w:customStyle="1" w:styleId="AkapitzlistZnak">
    <w:name w:val="Akapit z listą Znak"/>
    <w:aliases w:val="Obiekt Znak,List Paragraph1 Znak,Numerowanie Znak,List Paragraph Znak,Z lewej:  0 Znak,63 cm Znak,Wysunięcie:  0 Znak,Akapit z listą1 Znak,Liste à puces retrait droite Znak"/>
    <w:link w:val="Akapitzlist"/>
    <w:uiPriority w:val="34"/>
    <w:qFormat/>
    <w:rsid w:val="008409CE"/>
    <w:rPr>
      <w:rFonts w:ascii="Arial" w:eastAsia="Times New Roman" w:hAnsi="Arial" w:cs="Arial"/>
      <w:i/>
      <w:i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Obiekt,List Paragraph1,Numerowanie,List Paragraph,Z lewej:  0,63 cm,Wysunięcie:  0,Akapit z listą1,Liste à puces retrait droite"/>
    <w:basedOn w:val="Normalny"/>
    <w:link w:val="AkapitzlistZnak"/>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 w:type="character" w:customStyle="1" w:styleId="AkapitzlistZnak">
    <w:name w:val="Akapit z listą Znak"/>
    <w:aliases w:val="Obiekt Znak,List Paragraph1 Znak,Numerowanie Znak,List Paragraph Znak,Z lewej:  0 Znak,63 cm Znak,Wysunięcie:  0 Znak,Akapit z listą1 Znak,Liste à puces retrait droite Znak"/>
    <w:link w:val="Akapitzlist"/>
    <w:uiPriority w:val="34"/>
    <w:qFormat/>
    <w:rsid w:val="008409CE"/>
    <w:rPr>
      <w:rFonts w:ascii="Arial" w:eastAsia="Times New Roman" w:hAnsi="Arial" w:cs="Arial"/>
      <w:i/>
      <w:i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40D4F-E8F6-4B52-BAF3-A097755B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2468</Words>
  <Characters>14810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zczarnuch</dc:creator>
  <cp:lastModifiedBy>Zaneta Czarnuch</cp:lastModifiedBy>
  <cp:revision>2</cp:revision>
  <cp:lastPrinted>2021-09-21T10:48:00Z</cp:lastPrinted>
  <dcterms:created xsi:type="dcterms:W3CDTF">2021-09-21T11:55:00Z</dcterms:created>
  <dcterms:modified xsi:type="dcterms:W3CDTF">2021-09-21T11:55:00Z</dcterms:modified>
</cp:coreProperties>
</file>